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30" w:lineRule="auto"/>
        <w:ind w:left="17"/>
        <w:rPr>
          <w:rFonts w:hint="eastAsia" w:ascii="仿宋" w:hAnsi="仿宋" w:eastAsia="仿宋" w:cs="仿宋"/>
          <w:spacing w:val="-18"/>
          <w:sz w:val="31"/>
          <w:szCs w:val="31"/>
          <w:lang w:val="en-US" w:eastAsia="zh-CN"/>
        </w:rPr>
      </w:pPr>
      <w:r>
        <w:rPr>
          <w:rFonts w:hint="eastAsia" w:ascii="仿宋" w:hAnsi="仿宋" w:eastAsia="仿宋" w:cs="仿宋"/>
          <w:spacing w:val="-18"/>
          <w:sz w:val="31"/>
          <w:szCs w:val="31"/>
          <w:lang w:eastAsia="zh-CN"/>
        </w:rPr>
        <w:t>附件</w:t>
      </w:r>
      <w:r>
        <w:rPr>
          <w:rFonts w:hint="eastAsia" w:ascii="仿宋" w:hAnsi="仿宋" w:eastAsia="仿宋" w:cs="仿宋"/>
          <w:spacing w:val="-18"/>
          <w:sz w:val="31"/>
          <w:szCs w:val="31"/>
          <w:lang w:val="en-US" w:eastAsia="zh-CN"/>
        </w:rPr>
        <w:t>1</w:t>
      </w:r>
    </w:p>
    <w:p>
      <w:pPr>
        <w:spacing w:before="185" w:line="187" w:lineRule="auto"/>
        <w:ind w:left="1773"/>
        <w:rPr>
          <w:rFonts w:ascii="微软雅黑" w:hAnsi="微软雅黑" w:eastAsia="微软雅黑" w:cs="微软雅黑"/>
          <w:sz w:val="43"/>
          <w:szCs w:val="43"/>
        </w:rPr>
      </w:pPr>
      <w:bookmarkStart w:id="0" w:name="_GoBack"/>
      <w:r>
        <w:rPr>
          <w:rFonts w:ascii="微软雅黑" w:hAnsi="微软雅黑" w:eastAsia="微软雅黑" w:cs="微软雅黑"/>
          <w:spacing w:val="14"/>
          <w:sz w:val="43"/>
          <w:szCs w:val="43"/>
        </w:rPr>
        <w:t>课</w:t>
      </w:r>
      <w:r>
        <w:rPr>
          <w:rFonts w:ascii="微软雅黑" w:hAnsi="微软雅黑" w:eastAsia="微软雅黑" w:cs="微软雅黑"/>
          <w:spacing w:val="9"/>
          <w:sz w:val="43"/>
          <w:szCs w:val="43"/>
        </w:rPr>
        <w:t>程思政典型案例参考提纲</w:t>
      </w:r>
    </w:p>
    <w:bookmarkEnd w:id="0"/>
    <w:p>
      <w:pPr>
        <w:spacing w:before="132" w:line="221" w:lineRule="auto"/>
        <w:ind w:left="345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36"/>
          <w:sz w:val="31"/>
          <w:szCs w:val="31"/>
        </w:rPr>
        <w:t>(</w:t>
      </w:r>
      <w:r>
        <w:rPr>
          <w:rFonts w:ascii="楷体" w:hAnsi="楷体" w:eastAsia="楷体" w:cs="楷体"/>
          <w:spacing w:val="34"/>
          <w:sz w:val="31"/>
          <w:szCs w:val="31"/>
        </w:rPr>
        <w:t>学校层面)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01" w:line="226" w:lineRule="auto"/>
        <w:ind w:left="643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6"/>
          <w:sz w:val="31"/>
          <w:szCs w:val="31"/>
        </w:rPr>
        <w:t>一</w:t>
      </w:r>
      <w:r>
        <w:rPr>
          <w:rFonts w:ascii="黑体" w:hAnsi="黑体" w:eastAsia="黑体" w:cs="黑体"/>
          <w:spacing w:val="9"/>
          <w:sz w:val="31"/>
          <w:szCs w:val="31"/>
        </w:rPr>
        <w:t>、</w:t>
      </w:r>
      <w:r>
        <w:rPr>
          <w:rFonts w:ascii="黑体" w:hAnsi="黑体" w:eastAsia="黑体" w:cs="黑体"/>
          <w:spacing w:val="8"/>
          <w:sz w:val="31"/>
          <w:szCs w:val="31"/>
        </w:rPr>
        <w:t>学校课程思政建设总体思路</w:t>
      </w:r>
    </w:p>
    <w:p>
      <w:pPr>
        <w:spacing w:before="220" w:line="226" w:lineRule="auto"/>
        <w:ind w:left="643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9"/>
          <w:sz w:val="31"/>
          <w:szCs w:val="31"/>
        </w:rPr>
        <w:t>二、课程思政建设主要做法和成</w:t>
      </w:r>
      <w:r>
        <w:rPr>
          <w:rFonts w:ascii="黑体" w:hAnsi="黑体" w:eastAsia="黑体" w:cs="黑体"/>
          <w:spacing w:val="7"/>
          <w:sz w:val="31"/>
          <w:szCs w:val="31"/>
        </w:rPr>
        <w:t>效</w:t>
      </w:r>
    </w:p>
    <w:p>
      <w:pPr>
        <w:spacing w:before="220" w:line="226" w:lineRule="auto"/>
        <w:ind w:left="644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3"/>
          <w:sz w:val="31"/>
          <w:szCs w:val="31"/>
        </w:rPr>
        <w:t>三</w:t>
      </w:r>
      <w:r>
        <w:rPr>
          <w:rFonts w:ascii="黑体" w:hAnsi="黑体" w:eastAsia="黑体" w:cs="黑体"/>
          <w:spacing w:val="8"/>
          <w:sz w:val="31"/>
          <w:szCs w:val="31"/>
        </w:rPr>
        <w:t>、课程思政建设工作经验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before="185" w:line="187" w:lineRule="auto"/>
        <w:ind w:left="1773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14"/>
          <w:sz w:val="43"/>
          <w:szCs w:val="43"/>
        </w:rPr>
        <w:t>课</w:t>
      </w:r>
      <w:r>
        <w:rPr>
          <w:rFonts w:ascii="微软雅黑" w:hAnsi="微软雅黑" w:eastAsia="微软雅黑" w:cs="微软雅黑"/>
          <w:spacing w:val="9"/>
          <w:sz w:val="43"/>
          <w:szCs w:val="43"/>
        </w:rPr>
        <w:t>程思政典型案例参考提纲</w:t>
      </w:r>
    </w:p>
    <w:p>
      <w:pPr>
        <w:spacing w:before="131" w:line="222" w:lineRule="auto"/>
        <w:ind w:left="345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36"/>
          <w:sz w:val="31"/>
          <w:szCs w:val="31"/>
        </w:rPr>
        <w:t>(</w:t>
      </w:r>
      <w:r>
        <w:rPr>
          <w:rFonts w:ascii="楷体" w:hAnsi="楷体" w:eastAsia="楷体" w:cs="楷体"/>
          <w:spacing w:val="34"/>
          <w:sz w:val="31"/>
          <w:szCs w:val="31"/>
        </w:rPr>
        <w:t>专业层面)</w:t>
      </w:r>
    </w:p>
    <w:p>
      <w:pPr>
        <w:spacing w:before="226" w:line="227" w:lineRule="auto"/>
        <w:ind w:left="643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一、专业简介</w:t>
      </w:r>
    </w:p>
    <w:p>
      <w:pPr>
        <w:spacing w:before="220" w:line="226" w:lineRule="auto"/>
        <w:ind w:left="643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9"/>
          <w:sz w:val="31"/>
          <w:szCs w:val="31"/>
        </w:rPr>
        <w:t>二、专业课程思政建设主要做法和成</w:t>
      </w:r>
      <w:r>
        <w:rPr>
          <w:rFonts w:ascii="黑体" w:hAnsi="黑体" w:eastAsia="黑体" w:cs="黑体"/>
          <w:spacing w:val="7"/>
          <w:sz w:val="31"/>
          <w:szCs w:val="31"/>
        </w:rPr>
        <w:t>效</w:t>
      </w:r>
    </w:p>
    <w:p>
      <w:pPr>
        <w:spacing w:before="220" w:line="226" w:lineRule="auto"/>
        <w:ind w:left="644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6"/>
          <w:sz w:val="31"/>
          <w:szCs w:val="31"/>
        </w:rPr>
        <w:t>三</w:t>
      </w:r>
      <w:r>
        <w:rPr>
          <w:rFonts w:ascii="黑体" w:hAnsi="黑体" w:eastAsia="黑体" w:cs="黑体"/>
          <w:spacing w:val="8"/>
          <w:sz w:val="31"/>
          <w:szCs w:val="31"/>
        </w:rPr>
        <w:t>、专业课程思政建设工作经验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before="185" w:line="187" w:lineRule="auto"/>
        <w:ind w:left="1773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14"/>
          <w:sz w:val="43"/>
          <w:szCs w:val="43"/>
        </w:rPr>
        <w:t>课</w:t>
      </w:r>
      <w:r>
        <w:rPr>
          <w:rFonts w:ascii="微软雅黑" w:hAnsi="微软雅黑" w:eastAsia="微软雅黑" w:cs="微软雅黑"/>
          <w:spacing w:val="9"/>
          <w:sz w:val="43"/>
          <w:szCs w:val="43"/>
        </w:rPr>
        <w:t>程思政典型案例参考提纲</w:t>
      </w:r>
    </w:p>
    <w:p>
      <w:pPr>
        <w:spacing w:before="133" w:line="222" w:lineRule="auto"/>
        <w:ind w:left="281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29"/>
          <w:sz w:val="31"/>
          <w:szCs w:val="31"/>
        </w:rPr>
        <w:t>(</w:t>
      </w:r>
      <w:r>
        <w:rPr>
          <w:rFonts w:ascii="楷体" w:hAnsi="楷体" w:eastAsia="楷体" w:cs="楷体"/>
          <w:spacing w:val="24"/>
          <w:sz w:val="31"/>
          <w:szCs w:val="31"/>
        </w:rPr>
        <w:t>课程、课程群层面)</w:t>
      </w:r>
    </w:p>
    <w:p>
      <w:pPr>
        <w:spacing w:before="225" w:line="226" w:lineRule="auto"/>
        <w:ind w:left="643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26"/>
          <w:sz w:val="31"/>
          <w:szCs w:val="31"/>
        </w:rPr>
        <w:t>一</w:t>
      </w:r>
      <w:r>
        <w:rPr>
          <w:rFonts w:ascii="黑体" w:hAnsi="黑体" w:eastAsia="黑体" w:cs="黑体"/>
          <w:spacing w:val="20"/>
          <w:sz w:val="31"/>
          <w:szCs w:val="31"/>
        </w:rPr>
        <w:t>、课程(课程群) 简介</w:t>
      </w:r>
    </w:p>
    <w:p>
      <w:pPr>
        <w:spacing w:before="221" w:line="357" w:lineRule="auto"/>
        <w:ind w:firstLine="62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包含</w:t>
      </w:r>
      <w:r>
        <w:rPr>
          <w:rFonts w:ascii="仿宋" w:hAnsi="仿宋" w:eastAsia="仿宋" w:cs="仿宋"/>
          <w:spacing w:val="7"/>
          <w:sz w:val="31"/>
          <w:szCs w:val="31"/>
        </w:rPr>
        <w:t>课</w:t>
      </w:r>
      <w:r>
        <w:rPr>
          <w:rFonts w:ascii="仿宋" w:hAnsi="仿宋" w:eastAsia="仿宋" w:cs="仿宋"/>
          <w:spacing w:val="5"/>
          <w:sz w:val="31"/>
          <w:szCs w:val="31"/>
        </w:rPr>
        <w:t>程名称、课程类别、开课单位、课程负责人、课程简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介</w:t>
      </w:r>
      <w:r>
        <w:rPr>
          <w:rFonts w:ascii="仿宋" w:hAnsi="仿宋" w:eastAsia="仿宋" w:cs="仿宋"/>
          <w:spacing w:val="5"/>
          <w:sz w:val="31"/>
          <w:szCs w:val="31"/>
        </w:rPr>
        <w:t>等信息。</w:t>
      </w:r>
    </w:p>
    <w:p>
      <w:pPr>
        <w:spacing w:before="1" w:line="226" w:lineRule="auto"/>
        <w:ind w:left="643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30"/>
          <w:sz w:val="31"/>
          <w:szCs w:val="31"/>
        </w:rPr>
        <w:t>二</w:t>
      </w:r>
      <w:r>
        <w:rPr>
          <w:rFonts w:ascii="黑体" w:hAnsi="黑体" w:eastAsia="黑体" w:cs="黑体"/>
          <w:spacing w:val="16"/>
          <w:sz w:val="31"/>
          <w:szCs w:val="31"/>
        </w:rPr>
        <w:t>、课程(课程群) 思政建设理念与特色</w:t>
      </w:r>
    </w:p>
    <w:p>
      <w:pPr>
        <w:spacing w:before="222" w:line="222" w:lineRule="auto"/>
        <w:ind w:left="63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0"/>
          <w:sz w:val="31"/>
          <w:szCs w:val="31"/>
        </w:rPr>
        <w:t>(</w:t>
      </w:r>
      <w:r>
        <w:rPr>
          <w:rFonts w:ascii="仿宋" w:hAnsi="仿宋" w:eastAsia="仿宋" w:cs="仿宋"/>
          <w:spacing w:val="27"/>
          <w:sz w:val="31"/>
          <w:szCs w:val="31"/>
        </w:rPr>
        <w:t>一) 教学目标</w:t>
      </w:r>
    </w:p>
    <w:p>
      <w:pPr>
        <w:sectPr>
          <w:footerReference r:id="rId5" w:type="default"/>
          <w:pgSz w:w="11906" w:h="16838"/>
          <w:pgMar w:top="1431" w:right="1472" w:bottom="1709" w:left="1601" w:header="0" w:footer="1427" w:gutter="0"/>
          <w:cols w:space="720" w:num="1"/>
        </w:sect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101" w:line="222" w:lineRule="auto"/>
        <w:ind w:left="75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3"/>
          <w:sz w:val="31"/>
          <w:szCs w:val="31"/>
        </w:rPr>
        <w:t>(</w:t>
      </w:r>
      <w:r>
        <w:rPr>
          <w:rFonts w:ascii="仿宋" w:hAnsi="仿宋" w:eastAsia="仿宋" w:cs="仿宋"/>
          <w:spacing w:val="19"/>
          <w:sz w:val="31"/>
          <w:szCs w:val="31"/>
        </w:rPr>
        <w:t>二) 课程思政元素挖掘与分析</w:t>
      </w:r>
    </w:p>
    <w:p>
      <w:pPr>
        <w:spacing w:before="227" w:line="222" w:lineRule="auto"/>
        <w:ind w:left="75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8"/>
          <w:sz w:val="31"/>
          <w:szCs w:val="31"/>
        </w:rPr>
        <w:t>(</w:t>
      </w:r>
      <w:r>
        <w:rPr>
          <w:rFonts w:ascii="仿宋" w:hAnsi="仿宋" w:eastAsia="仿宋" w:cs="仿宋"/>
          <w:spacing w:val="21"/>
          <w:sz w:val="31"/>
          <w:szCs w:val="31"/>
        </w:rPr>
        <w:t>三) 课程思政教学设计</w:t>
      </w:r>
    </w:p>
    <w:p>
      <w:pPr>
        <w:spacing w:before="228" w:line="222" w:lineRule="auto"/>
        <w:ind w:left="75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0"/>
          <w:sz w:val="31"/>
          <w:szCs w:val="31"/>
        </w:rPr>
        <w:t>(</w:t>
      </w:r>
      <w:r>
        <w:rPr>
          <w:rFonts w:ascii="仿宋" w:hAnsi="仿宋" w:eastAsia="仿宋" w:cs="仿宋"/>
          <w:spacing w:val="22"/>
          <w:sz w:val="31"/>
          <w:szCs w:val="31"/>
        </w:rPr>
        <w:t>四) 教学实施与方法</w:t>
      </w:r>
    </w:p>
    <w:p>
      <w:pPr>
        <w:spacing w:before="226" w:line="223" w:lineRule="auto"/>
        <w:ind w:left="75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0"/>
          <w:sz w:val="31"/>
          <w:szCs w:val="31"/>
        </w:rPr>
        <w:t>(</w:t>
      </w:r>
      <w:r>
        <w:rPr>
          <w:rFonts w:ascii="仿宋" w:hAnsi="仿宋" w:eastAsia="仿宋" w:cs="仿宋"/>
          <w:spacing w:val="22"/>
          <w:sz w:val="31"/>
          <w:szCs w:val="31"/>
        </w:rPr>
        <w:t>五) 主要特色与成效</w:t>
      </w:r>
    </w:p>
    <w:p>
      <w:pPr>
        <w:spacing w:before="224" w:line="226" w:lineRule="auto"/>
        <w:ind w:left="77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4"/>
          <w:sz w:val="31"/>
          <w:szCs w:val="31"/>
        </w:rPr>
        <w:t>三</w:t>
      </w:r>
      <w:r>
        <w:rPr>
          <w:rFonts w:ascii="黑体" w:hAnsi="黑体" w:eastAsia="黑体" w:cs="黑体"/>
          <w:spacing w:val="8"/>
          <w:sz w:val="31"/>
          <w:szCs w:val="31"/>
        </w:rPr>
        <w:t>、课程思政教学设计对应表</w:t>
      </w:r>
    </w:p>
    <w:p>
      <w:pPr>
        <w:spacing w:line="14" w:lineRule="exact"/>
      </w:pPr>
    </w:p>
    <w:tbl>
      <w:tblPr>
        <w:tblStyle w:val="5"/>
        <w:tblW w:w="910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2"/>
        <w:gridCol w:w="928"/>
        <w:gridCol w:w="1813"/>
        <w:gridCol w:w="1926"/>
        <w:gridCol w:w="1701"/>
        <w:gridCol w:w="184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92" w:type="dxa"/>
            <w:vAlign w:val="top"/>
          </w:tcPr>
          <w:p>
            <w:pPr>
              <w:spacing w:before="184" w:line="224" w:lineRule="auto"/>
              <w:ind w:left="174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6"/>
                <w:sz w:val="28"/>
                <w:szCs w:val="28"/>
              </w:rPr>
              <w:t>序</w:t>
            </w:r>
            <w:r>
              <w:rPr>
                <w:rFonts w:ascii="黑体" w:hAnsi="黑体" w:eastAsia="黑体" w:cs="黑体"/>
                <w:spacing w:val="-4"/>
                <w:sz w:val="28"/>
                <w:szCs w:val="28"/>
              </w:rPr>
              <w:t>号</w:t>
            </w:r>
          </w:p>
        </w:tc>
        <w:tc>
          <w:tcPr>
            <w:tcW w:w="928" w:type="dxa"/>
            <w:vAlign w:val="top"/>
          </w:tcPr>
          <w:p>
            <w:pPr>
              <w:spacing w:before="185" w:line="222" w:lineRule="auto"/>
              <w:ind w:left="191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6"/>
                <w:sz w:val="28"/>
                <w:szCs w:val="28"/>
              </w:rPr>
              <w:t>章</w:t>
            </w:r>
            <w:r>
              <w:rPr>
                <w:rFonts w:ascii="黑体" w:hAnsi="黑体" w:eastAsia="黑体" w:cs="黑体"/>
                <w:spacing w:val="-5"/>
                <w:sz w:val="28"/>
                <w:szCs w:val="28"/>
              </w:rPr>
              <w:t>节</w:t>
            </w:r>
          </w:p>
        </w:tc>
        <w:tc>
          <w:tcPr>
            <w:tcW w:w="1813" w:type="dxa"/>
            <w:vAlign w:val="top"/>
          </w:tcPr>
          <w:p>
            <w:pPr>
              <w:spacing w:before="185" w:line="223" w:lineRule="auto"/>
              <w:ind w:left="220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3"/>
                <w:sz w:val="28"/>
                <w:szCs w:val="28"/>
              </w:rPr>
              <w:t>专业知识点</w:t>
            </w:r>
          </w:p>
        </w:tc>
        <w:tc>
          <w:tcPr>
            <w:tcW w:w="1926" w:type="dxa"/>
            <w:vAlign w:val="top"/>
          </w:tcPr>
          <w:p>
            <w:pPr>
              <w:spacing w:before="184" w:line="224" w:lineRule="auto"/>
              <w:ind w:left="410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4"/>
                <w:sz w:val="28"/>
                <w:szCs w:val="28"/>
              </w:rPr>
              <w:t>思</w:t>
            </w:r>
            <w:r>
              <w:rPr>
                <w:rFonts w:ascii="黑体" w:hAnsi="黑体" w:eastAsia="黑体" w:cs="黑体"/>
                <w:spacing w:val="-3"/>
                <w:sz w:val="28"/>
                <w:szCs w:val="28"/>
              </w:rPr>
              <w:t>政</w:t>
            </w: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元素</w:t>
            </w:r>
          </w:p>
        </w:tc>
        <w:tc>
          <w:tcPr>
            <w:tcW w:w="1701" w:type="dxa"/>
            <w:vAlign w:val="top"/>
          </w:tcPr>
          <w:p>
            <w:pPr>
              <w:spacing w:before="184" w:line="224" w:lineRule="auto"/>
              <w:ind w:left="306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4"/>
                <w:sz w:val="28"/>
                <w:szCs w:val="28"/>
              </w:rPr>
              <w:t>典型案例</w:t>
            </w:r>
          </w:p>
        </w:tc>
        <w:tc>
          <w:tcPr>
            <w:tcW w:w="1842" w:type="dxa"/>
            <w:vAlign w:val="top"/>
          </w:tcPr>
          <w:p>
            <w:pPr>
              <w:spacing w:before="184" w:line="222" w:lineRule="auto"/>
              <w:ind w:left="366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教学方法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8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</w:trPr>
        <w:tc>
          <w:tcPr>
            <w:tcW w:w="8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</w:trPr>
        <w:tc>
          <w:tcPr>
            <w:tcW w:w="8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</w:trPr>
        <w:tc>
          <w:tcPr>
            <w:tcW w:w="8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8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</w:trPr>
        <w:tc>
          <w:tcPr>
            <w:tcW w:w="8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38" w:line="253" w:lineRule="auto"/>
        <w:ind w:left="136" w:right="58" w:hanging="5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8"/>
          <w:sz w:val="28"/>
          <w:szCs w:val="28"/>
        </w:rPr>
        <w:t>注：</w:t>
      </w:r>
      <w:r>
        <w:rPr>
          <w:rFonts w:ascii="仿宋" w:hAnsi="仿宋" w:eastAsia="仿宋" w:cs="仿宋"/>
          <w:spacing w:val="-16"/>
          <w:sz w:val="28"/>
          <w:szCs w:val="28"/>
        </w:rPr>
        <w:t>案</w:t>
      </w:r>
      <w:r>
        <w:rPr>
          <w:rFonts w:ascii="仿宋" w:hAnsi="仿宋" w:eastAsia="仿宋" w:cs="仿宋"/>
          <w:spacing w:val="-9"/>
          <w:sz w:val="28"/>
          <w:szCs w:val="28"/>
        </w:rPr>
        <w:t>例材料规范、严谨，突出重点、亮点和特色，结构合理、条理清晰、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6"/>
          <w:sz w:val="28"/>
          <w:szCs w:val="28"/>
        </w:rPr>
        <w:t>文</w:t>
      </w:r>
      <w:r>
        <w:rPr>
          <w:rFonts w:ascii="仿宋" w:hAnsi="仿宋" w:eastAsia="仿宋" w:cs="仿宋"/>
          <w:spacing w:val="-3"/>
          <w:sz w:val="28"/>
          <w:szCs w:val="28"/>
        </w:rPr>
        <w:t xml:space="preserve">字精炼、数据翔实、图文并茂，字数控制在 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5000 </w:t>
      </w:r>
      <w:r>
        <w:rPr>
          <w:rFonts w:ascii="仿宋" w:hAnsi="仿宋" w:eastAsia="仿宋" w:cs="仿宋"/>
          <w:spacing w:val="-3"/>
          <w:sz w:val="28"/>
          <w:szCs w:val="28"/>
        </w:rPr>
        <w:t>字以内。</w:t>
      </w:r>
    </w:p>
    <w:p/>
    <w:sectPr>
      <w:footerReference r:id="rId6" w:type="default"/>
      <w:pgSz w:w="11906" w:h="16838"/>
      <w:pgMar w:top="1431" w:right="1322" w:bottom="1709" w:left="1475" w:header="0" w:footer="142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5" w:lineRule="auto"/>
      <w:ind w:right="311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"/>
        <w:sz w:val="28"/>
        <w:szCs w:val="28"/>
      </w:rPr>
      <w:t>—</w:t>
    </w:r>
    <w:r>
      <w:rPr>
        <w:rFonts w:ascii="宋体" w:hAnsi="宋体" w:eastAsia="宋体" w:cs="宋体"/>
        <w:sz w:val="28"/>
        <w:szCs w:val="28"/>
      </w:rPr>
      <w:t xml:space="preserve"> </w:t>
    </w:r>
    <w:r>
      <w:rPr>
        <w:rFonts w:hint="eastAsia" w:ascii="宋体" w:hAnsi="宋体" w:eastAsia="宋体" w:cs="宋体"/>
        <w:sz w:val="28"/>
        <w:szCs w:val="28"/>
        <w:lang w:val="en-US" w:eastAsia="zh-CN"/>
      </w:rPr>
      <w:t>1</w:t>
    </w:r>
    <w:r>
      <w:rPr>
        <w:rFonts w:ascii="宋体" w:hAnsi="宋体" w:eastAsia="宋体" w:cs="宋体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5" w:lineRule="auto"/>
      <w:ind w:left="441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"/>
        <w:sz w:val="28"/>
        <w:szCs w:val="28"/>
      </w:rPr>
      <w:t>—</w:t>
    </w:r>
    <w:r>
      <w:rPr>
        <w:rFonts w:ascii="宋体" w:hAnsi="宋体" w:eastAsia="宋体" w:cs="宋体"/>
        <w:sz w:val="28"/>
        <w:szCs w:val="28"/>
      </w:rPr>
      <w:t xml:space="preserve"> </w:t>
    </w:r>
    <w:r>
      <w:rPr>
        <w:rFonts w:hint="eastAsia" w:ascii="宋体" w:hAnsi="宋体" w:eastAsia="宋体" w:cs="宋体"/>
        <w:sz w:val="28"/>
        <w:szCs w:val="28"/>
        <w:lang w:val="en-US" w:eastAsia="zh-CN"/>
      </w:rPr>
      <w:t>2</w:t>
    </w:r>
    <w:r>
      <w:rPr>
        <w:rFonts w:ascii="宋体" w:hAnsi="宋体" w:eastAsia="宋体" w:cs="宋体"/>
        <w:sz w:val="28"/>
        <w:szCs w:val="28"/>
      </w:rPr>
      <w:t xml:space="preserve">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wZmYxZjgzMTg0N2NlYzkyNzFhOTI4OTM2MDgyYmYifQ=="/>
  </w:docVars>
  <w:rsids>
    <w:rsidRoot w:val="5409235D"/>
    <w:rsid w:val="5409235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343</Words>
  <Characters>346</Characters>
  <Lines>0</Lines>
  <Paragraphs>0</Paragraphs>
  <TotalTime>1</TotalTime>
  <ScaleCrop>false</ScaleCrop>
  <LinksUpToDate>false</LinksUpToDate>
  <CharactersWithSpaces>357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2023-06-20T07:15:00Z</dcterms:created>
  <dc:creator>而念</dc:creator>
  <cp:lastModifiedBy>而念</cp:lastModifiedBy>
  <dcterms:modified xsi:type="dcterms:W3CDTF">2023-06-20T07:17:41Z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C10A775BC5CA4A8ABBBCB215FF0F2F98_11</vt:lpwstr>
  </property>
</Properties>
</file>