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86CE31" w14:textId="77777777" w:rsidR="00FB2910" w:rsidRDefault="00B45C70">
      <w:pPr>
        <w:spacing w:line="360" w:lineRule="auto"/>
        <w:ind w:firstLineChars="200" w:firstLine="466"/>
        <w:jc w:val="center"/>
        <w:rPr>
          <w:rFonts w:ascii="宋体" w:hAnsi="宋体" w:cs="宋体"/>
          <w:caps/>
          <w:sz w:val="28"/>
          <w:szCs w:val="28"/>
        </w:rPr>
      </w:pPr>
      <w:r>
        <w:rPr>
          <w:rFonts w:ascii="宋体" w:hAnsi="宋体" w:cs="宋体" w:hint="eastAsia"/>
          <w:b/>
          <w:bCs/>
          <w:spacing w:val="-4"/>
          <w:kern w:val="0"/>
          <w:sz w:val="24"/>
        </w:rPr>
        <w:t>四川师范大学2026年研究生考试及评卷安检设备租赁项目采购清单</w:t>
      </w:r>
    </w:p>
    <w:p w14:paraId="26625EB4" w14:textId="77777777" w:rsidR="00FB2910" w:rsidRDefault="00FB2910"/>
    <w:tbl>
      <w:tblPr>
        <w:tblW w:w="10834" w:type="dxa"/>
        <w:jc w:val="center"/>
        <w:tblLayout w:type="fixed"/>
        <w:tblLook w:val="04A0" w:firstRow="1" w:lastRow="0" w:firstColumn="1" w:lastColumn="0" w:noHBand="0" w:noVBand="1"/>
      </w:tblPr>
      <w:tblGrid>
        <w:gridCol w:w="1058"/>
        <w:gridCol w:w="6653"/>
        <w:gridCol w:w="819"/>
        <w:gridCol w:w="885"/>
        <w:gridCol w:w="1419"/>
      </w:tblGrid>
      <w:tr w:rsidR="00FB2910" w14:paraId="29453AEE" w14:textId="77777777">
        <w:trPr>
          <w:trHeight w:val="705"/>
          <w:jc w:val="center"/>
        </w:trPr>
        <w:tc>
          <w:tcPr>
            <w:tcW w:w="1058" w:type="dxa"/>
            <w:tcBorders>
              <w:top w:val="single" w:sz="4" w:space="0" w:color="auto"/>
              <w:left w:val="single" w:sz="4" w:space="0" w:color="auto"/>
              <w:bottom w:val="single" w:sz="4" w:space="0" w:color="auto"/>
              <w:right w:val="single" w:sz="4" w:space="0" w:color="auto"/>
            </w:tcBorders>
            <w:vAlign w:val="center"/>
          </w:tcPr>
          <w:p w14:paraId="36EF132F" w14:textId="77777777" w:rsidR="00FB2910" w:rsidRDefault="00B45C70">
            <w:pPr>
              <w:widowControl/>
              <w:spacing w:line="340" w:lineRule="exact"/>
              <w:jc w:val="center"/>
              <w:rPr>
                <w:rFonts w:ascii="仿宋" w:hAnsi="仿宋" w:cs="宋体"/>
                <w:b/>
                <w:bCs/>
                <w:kern w:val="0"/>
                <w:sz w:val="24"/>
              </w:rPr>
            </w:pPr>
            <w:r>
              <w:rPr>
                <w:rFonts w:ascii="仿宋" w:hAnsi="仿宋" w:cs="宋体" w:hint="eastAsia"/>
                <w:b/>
                <w:bCs/>
                <w:kern w:val="0"/>
                <w:sz w:val="24"/>
              </w:rPr>
              <w:t>设备</w:t>
            </w:r>
          </w:p>
          <w:p w14:paraId="16454494" w14:textId="77777777" w:rsidR="00FB2910" w:rsidRDefault="00B45C70">
            <w:pPr>
              <w:widowControl/>
              <w:spacing w:line="340" w:lineRule="exact"/>
              <w:jc w:val="center"/>
              <w:rPr>
                <w:rFonts w:ascii="仿宋" w:hAnsi="仿宋" w:cs="宋体"/>
                <w:b/>
                <w:bCs/>
                <w:kern w:val="0"/>
                <w:sz w:val="24"/>
              </w:rPr>
            </w:pPr>
            <w:r>
              <w:rPr>
                <w:rFonts w:ascii="仿宋" w:hAnsi="仿宋" w:cs="宋体" w:hint="eastAsia"/>
                <w:b/>
                <w:bCs/>
                <w:kern w:val="0"/>
                <w:sz w:val="24"/>
              </w:rPr>
              <w:t>名称</w:t>
            </w:r>
          </w:p>
        </w:tc>
        <w:tc>
          <w:tcPr>
            <w:tcW w:w="6653" w:type="dxa"/>
            <w:tcBorders>
              <w:top w:val="single" w:sz="4" w:space="0" w:color="auto"/>
              <w:left w:val="nil"/>
              <w:bottom w:val="single" w:sz="4" w:space="0" w:color="auto"/>
              <w:right w:val="single" w:sz="4" w:space="0" w:color="auto"/>
            </w:tcBorders>
            <w:vAlign w:val="center"/>
          </w:tcPr>
          <w:p w14:paraId="15A195F4" w14:textId="77777777" w:rsidR="00FB2910" w:rsidRDefault="00B45C70">
            <w:pPr>
              <w:widowControl/>
              <w:spacing w:line="340" w:lineRule="exact"/>
              <w:jc w:val="center"/>
              <w:rPr>
                <w:rFonts w:ascii="仿宋" w:hAnsi="仿宋" w:cs="宋体"/>
                <w:b/>
                <w:bCs/>
                <w:kern w:val="0"/>
                <w:sz w:val="24"/>
              </w:rPr>
            </w:pPr>
            <w:r>
              <w:rPr>
                <w:rFonts w:ascii="仿宋" w:hAnsi="仿宋" w:cs="宋体" w:hint="eastAsia"/>
                <w:b/>
                <w:bCs/>
                <w:kern w:val="0"/>
                <w:sz w:val="24"/>
              </w:rPr>
              <w:t>技术参数、配置</w:t>
            </w:r>
          </w:p>
        </w:tc>
        <w:tc>
          <w:tcPr>
            <w:tcW w:w="819" w:type="dxa"/>
            <w:tcBorders>
              <w:top w:val="single" w:sz="4" w:space="0" w:color="auto"/>
              <w:left w:val="nil"/>
              <w:bottom w:val="single" w:sz="4" w:space="0" w:color="auto"/>
              <w:right w:val="single" w:sz="4" w:space="0" w:color="auto"/>
            </w:tcBorders>
            <w:vAlign w:val="center"/>
          </w:tcPr>
          <w:p w14:paraId="69A31F9B" w14:textId="77777777" w:rsidR="00FB2910" w:rsidRDefault="00B45C70">
            <w:pPr>
              <w:widowControl/>
              <w:spacing w:line="340" w:lineRule="exact"/>
              <w:jc w:val="center"/>
              <w:rPr>
                <w:rFonts w:ascii="仿宋" w:hAnsi="仿宋" w:cs="宋体"/>
                <w:b/>
                <w:bCs/>
                <w:kern w:val="0"/>
                <w:sz w:val="24"/>
              </w:rPr>
            </w:pPr>
            <w:r>
              <w:rPr>
                <w:rFonts w:ascii="仿宋" w:hAnsi="仿宋" w:cs="宋体" w:hint="eastAsia"/>
                <w:b/>
                <w:bCs/>
                <w:kern w:val="0"/>
                <w:sz w:val="24"/>
              </w:rPr>
              <w:t>数量</w:t>
            </w:r>
          </w:p>
        </w:tc>
        <w:tc>
          <w:tcPr>
            <w:tcW w:w="885" w:type="dxa"/>
            <w:tcBorders>
              <w:top w:val="single" w:sz="4" w:space="0" w:color="auto"/>
              <w:left w:val="nil"/>
              <w:bottom w:val="single" w:sz="4" w:space="0" w:color="auto"/>
              <w:right w:val="single" w:sz="4" w:space="0" w:color="auto"/>
            </w:tcBorders>
            <w:vAlign w:val="center"/>
          </w:tcPr>
          <w:p w14:paraId="2023781C" w14:textId="77777777" w:rsidR="00FB2910" w:rsidRDefault="00B45C70">
            <w:pPr>
              <w:widowControl/>
              <w:spacing w:line="340" w:lineRule="exact"/>
              <w:jc w:val="center"/>
              <w:rPr>
                <w:rFonts w:ascii="仿宋" w:hAnsi="仿宋" w:cs="宋体"/>
                <w:b/>
                <w:bCs/>
                <w:kern w:val="0"/>
                <w:sz w:val="24"/>
              </w:rPr>
            </w:pPr>
            <w:r>
              <w:rPr>
                <w:rFonts w:ascii="仿宋" w:hAnsi="仿宋" w:cs="宋体" w:hint="eastAsia"/>
                <w:b/>
                <w:bCs/>
                <w:kern w:val="0"/>
                <w:sz w:val="24"/>
              </w:rPr>
              <w:t>单位</w:t>
            </w:r>
          </w:p>
        </w:tc>
        <w:tc>
          <w:tcPr>
            <w:tcW w:w="1419" w:type="dxa"/>
            <w:tcBorders>
              <w:top w:val="single" w:sz="4" w:space="0" w:color="auto"/>
              <w:left w:val="nil"/>
              <w:bottom w:val="single" w:sz="4" w:space="0" w:color="auto"/>
              <w:right w:val="single" w:sz="4" w:space="0" w:color="auto"/>
            </w:tcBorders>
          </w:tcPr>
          <w:p w14:paraId="59C0C3F8" w14:textId="77777777" w:rsidR="00FB2910" w:rsidRDefault="00B45C70">
            <w:pPr>
              <w:widowControl/>
              <w:spacing w:line="600" w:lineRule="auto"/>
              <w:jc w:val="center"/>
              <w:rPr>
                <w:rFonts w:ascii="仿宋" w:hAnsi="仿宋" w:cs="宋体"/>
                <w:b/>
                <w:bCs/>
                <w:kern w:val="0"/>
                <w:sz w:val="24"/>
              </w:rPr>
            </w:pPr>
            <w:r>
              <w:rPr>
                <w:rFonts w:ascii="仿宋" w:hAnsi="仿宋" w:cs="宋体" w:hint="eastAsia"/>
                <w:b/>
                <w:bCs/>
                <w:kern w:val="0"/>
                <w:sz w:val="24"/>
              </w:rPr>
              <w:t>租赁期限</w:t>
            </w:r>
          </w:p>
        </w:tc>
      </w:tr>
      <w:tr w:rsidR="00FB2910" w14:paraId="45BA9A43" w14:textId="77777777">
        <w:trPr>
          <w:trHeight w:val="2013"/>
          <w:jc w:val="center"/>
        </w:trPr>
        <w:tc>
          <w:tcPr>
            <w:tcW w:w="1058" w:type="dxa"/>
            <w:tcBorders>
              <w:top w:val="single" w:sz="4" w:space="0" w:color="auto"/>
              <w:left w:val="single" w:sz="4" w:space="0" w:color="auto"/>
              <w:bottom w:val="single" w:sz="4" w:space="0" w:color="auto"/>
              <w:right w:val="single" w:sz="4" w:space="0" w:color="auto"/>
            </w:tcBorders>
            <w:noWrap/>
            <w:vAlign w:val="center"/>
          </w:tcPr>
          <w:p w14:paraId="638CAC5A" w14:textId="77777777" w:rsidR="00FB2910" w:rsidRDefault="00B45C70">
            <w:pPr>
              <w:widowControl/>
              <w:spacing w:line="340" w:lineRule="exact"/>
              <w:jc w:val="center"/>
              <w:rPr>
                <w:rFonts w:asciiTheme="majorEastAsia" w:eastAsiaTheme="majorEastAsia" w:hAnsiTheme="majorEastAsia" w:cstheme="majorEastAsia"/>
                <w:kern w:val="0"/>
                <w:szCs w:val="21"/>
              </w:rPr>
            </w:pPr>
            <w:r>
              <w:rPr>
                <w:rFonts w:asciiTheme="majorEastAsia" w:eastAsiaTheme="majorEastAsia" w:hAnsiTheme="majorEastAsia" w:cstheme="majorEastAsia" w:hint="eastAsia"/>
                <w:kern w:val="0"/>
                <w:szCs w:val="21"/>
              </w:rPr>
              <w:t>智能手机安检门</w:t>
            </w:r>
          </w:p>
        </w:tc>
        <w:tc>
          <w:tcPr>
            <w:tcW w:w="6653" w:type="dxa"/>
            <w:tcBorders>
              <w:top w:val="single" w:sz="4" w:space="0" w:color="auto"/>
              <w:left w:val="single" w:sz="4" w:space="0" w:color="auto"/>
              <w:bottom w:val="single" w:sz="4" w:space="0" w:color="auto"/>
              <w:right w:val="single" w:sz="4" w:space="0" w:color="auto"/>
            </w:tcBorders>
            <w:vAlign w:val="center"/>
          </w:tcPr>
          <w:p w14:paraId="28188513" w14:textId="77777777" w:rsidR="00FB2910" w:rsidRDefault="00B45C70">
            <w:pPr>
              <w:numPr>
                <w:ilvl w:val="0"/>
                <w:numId w:val="1"/>
              </w:numPr>
              <w:spacing w:line="288" w:lineRule="auto"/>
              <w:rPr>
                <w:szCs w:val="21"/>
              </w:rPr>
            </w:pPr>
            <w:r>
              <w:rPr>
                <w:rFonts w:hint="eastAsia"/>
                <w:szCs w:val="21"/>
              </w:rPr>
              <w:t>金属探测防区：≥</w:t>
            </w:r>
            <w:r>
              <w:rPr>
                <w:rFonts w:hint="eastAsia"/>
                <w:szCs w:val="21"/>
              </w:rPr>
              <w:t>8</w:t>
            </w:r>
            <w:r>
              <w:rPr>
                <w:rFonts w:hint="eastAsia"/>
                <w:szCs w:val="21"/>
              </w:rPr>
              <w:t>个探测防区。</w:t>
            </w:r>
          </w:p>
          <w:p w14:paraId="78871EAB" w14:textId="77777777" w:rsidR="00FB2910" w:rsidRDefault="00B45C70">
            <w:pPr>
              <w:numPr>
                <w:ilvl w:val="0"/>
                <w:numId w:val="1"/>
              </w:numPr>
              <w:spacing w:line="288" w:lineRule="auto"/>
              <w:rPr>
                <w:szCs w:val="21"/>
              </w:rPr>
            </w:pPr>
            <w:r>
              <w:rPr>
                <w:rFonts w:hint="eastAsia"/>
                <w:szCs w:val="21"/>
              </w:rPr>
              <w:t>显示屏：配置≥</w:t>
            </w:r>
            <w:r>
              <w:rPr>
                <w:rFonts w:hint="eastAsia"/>
                <w:szCs w:val="21"/>
              </w:rPr>
              <w:t>29</w:t>
            </w:r>
            <w:r>
              <w:rPr>
                <w:rFonts w:hint="eastAsia"/>
                <w:szCs w:val="21"/>
              </w:rPr>
              <w:t>寸的液晶显示屏，实时显示通过人数、金属报警人数、人形图及报警区位、当前日期、历史数据、抓拍人脸图等，提供制造商盖章检测报告。</w:t>
            </w:r>
          </w:p>
          <w:p w14:paraId="5476613C" w14:textId="77777777" w:rsidR="00FB2910" w:rsidRDefault="00B45C70">
            <w:pPr>
              <w:spacing w:line="288" w:lineRule="auto"/>
              <w:rPr>
                <w:szCs w:val="21"/>
              </w:rPr>
            </w:pPr>
            <w:r>
              <w:rPr>
                <w:rFonts w:hint="eastAsia"/>
                <w:szCs w:val="21"/>
              </w:rPr>
              <w:t>3.</w:t>
            </w:r>
            <w:r>
              <w:rPr>
                <w:rFonts w:ascii="宋体" w:hAnsi="宋体" w:hint="eastAsia"/>
                <w:szCs w:val="21"/>
              </w:rPr>
              <w:t xml:space="preserve"> </w:t>
            </w:r>
            <w:r>
              <w:rPr>
                <w:rFonts w:hint="eastAsia"/>
                <w:szCs w:val="21"/>
              </w:rPr>
              <w:t>多种工作模式可选，支持电子产品探测模式、违禁品探测模式、电子产品和违禁品探测模式及全金属探测模式共四种模式，能在不同模式间进行切换，提供制造商盖章检测报告佐证。</w:t>
            </w:r>
          </w:p>
          <w:p w14:paraId="2502E3CA" w14:textId="77777777" w:rsidR="00FB2910" w:rsidRDefault="00B45C70">
            <w:pPr>
              <w:spacing w:line="288" w:lineRule="auto"/>
              <w:rPr>
                <w:szCs w:val="21"/>
              </w:rPr>
            </w:pPr>
            <w:r>
              <w:rPr>
                <w:rFonts w:hint="eastAsia"/>
                <w:szCs w:val="21"/>
              </w:rPr>
              <w:t xml:space="preserve">4. </w:t>
            </w:r>
            <w:r>
              <w:rPr>
                <w:rFonts w:hint="eastAsia"/>
                <w:szCs w:val="21"/>
              </w:rPr>
              <w:t>分类安检模式下可排除过检人员身上扣子、项链、硬币、钥匙等随身物品。</w:t>
            </w:r>
          </w:p>
          <w:p w14:paraId="19E96736" w14:textId="77777777" w:rsidR="00FB2910" w:rsidRDefault="00B45C70">
            <w:pPr>
              <w:spacing w:line="288" w:lineRule="auto"/>
              <w:rPr>
                <w:szCs w:val="21"/>
              </w:rPr>
            </w:pPr>
            <w:r>
              <w:rPr>
                <w:rFonts w:hint="eastAsia"/>
                <w:szCs w:val="21"/>
              </w:rPr>
              <w:t>5.</w:t>
            </w:r>
            <w:r>
              <w:rPr>
                <w:rFonts w:ascii="宋体" w:hAnsi="宋体" w:hint="eastAsia"/>
                <w:szCs w:val="21"/>
              </w:rPr>
              <w:t xml:space="preserve"> </w:t>
            </w:r>
            <w:r>
              <w:rPr>
                <w:rFonts w:hint="eastAsia"/>
                <w:szCs w:val="21"/>
              </w:rPr>
              <w:t>电子产品和违禁品探测功能：安检门应能排除人员正常着装上的手表、金属钮扣、腰带、不锈钢保温杯、折叠伞等日常金属产品通过时应不报警，并准确分辨出是否携带任何状态下手机，以及笔记本电脑、</w:t>
            </w:r>
            <w:r>
              <w:rPr>
                <w:rFonts w:hint="eastAsia"/>
                <w:szCs w:val="21"/>
              </w:rPr>
              <w:t>Ipad</w:t>
            </w:r>
            <w:r>
              <w:rPr>
                <w:rFonts w:hint="eastAsia"/>
                <w:szCs w:val="21"/>
              </w:rPr>
              <w:t>等电子产品，并且以图文的形式分类显示出来，系统应有声光报警并有文字和图像提示物品的藏匿位置</w:t>
            </w:r>
            <w:r>
              <w:rPr>
                <w:rFonts w:hint="eastAsia"/>
                <w:szCs w:val="21"/>
              </w:rPr>
              <w:t>;</w:t>
            </w:r>
            <w:r>
              <w:rPr>
                <w:rFonts w:hint="eastAsia"/>
                <w:szCs w:val="21"/>
              </w:rPr>
              <w:t>当刀具和手机捆绑后一起通过安检门时，安检门应对手机报警，提供制造商盖章检测报告佐证。</w:t>
            </w:r>
          </w:p>
          <w:p w14:paraId="20A03496" w14:textId="77777777" w:rsidR="00FB2910" w:rsidRDefault="00B45C70">
            <w:pPr>
              <w:spacing w:line="288" w:lineRule="auto"/>
              <w:rPr>
                <w:szCs w:val="21"/>
              </w:rPr>
            </w:pPr>
            <w:r>
              <w:rPr>
                <w:rFonts w:hint="eastAsia"/>
                <w:szCs w:val="21"/>
              </w:rPr>
              <w:t xml:space="preserve">6. </w:t>
            </w:r>
            <w:r>
              <w:rPr>
                <w:rFonts w:hint="eastAsia"/>
                <w:szCs w:val="21"/>
              </w:rPr>
              <w:t>金属探测模式：当携带超过限量的金属通过智能分类门时，系统将声光报警，可检测到</w:t>
            </w:r>
            <w:r>
              <w:rPr>
                <w:rFonts w:hint="eastAsia"/>
                <w:szCs w:val="21"/>
              </w:rPr>
              <w:t>1</w:t>
            </w:r>
            <w:r>
              <w:rPr>
                <w:rFonts w:hint="eastAsia"/>
                <w:szCs w:val="21"/>
              </w:rPr>
              <w:t>个回形针大小的金属，有效进行违规物品核验。</w:t>
            </w:r>
          </w:p>
          <w:p w14:paraId="52A66E00" w14:textId="77777777" w:rsidR="00FB2910" w:rsidRDefault="00B45C70">
            <w:pPr>
              <w:spacing w:line="288" w:lineRule="auto"/>
              <w:rPr>
                <w:szCs w:val="21"/>
              </w:rPr>
            </w:pPr>
            <w:r>
              <w:rPr>
                <w:rFonts w:hint="eastAsia"/>
                <w:szCs w:val="21"/>
              </w:rPr>
              <w:t xml:space="preserve">7. </w:t>
            </w:r>
            <w:r>
              <w:rPr>
                <w:rFonts w:hint="eastAsia"/>
                <w:szCs w:val="21"/>
              </w:rPr>
              <w:t>存储功能：支持存储每天通过的人数、报警次数、报警信息、人脸信息等数据，可按时间、通过方向、报警程度等查询历史信息和报警视频录像；同时支持历史信息和视频录像导出功能，而且存储数据不小于</w:t>
            </w:r>
            <w:r>
              <w:rPr>
                <w:rFonts w:hint="eastAsia"/>
                <w:szCs w:val="21"/>
              </w:rPr>
              <w:t>2000000</w:t>
            </w:r>
            <w:r>
              <w:rPr>
                <w:rFonts w:hint="eastAsia"/>
                <w:szCs w:val="21"/>
              </w:rPr>
              <w:t>条，提供制造商盖章检测报告佐证。</w:t>
            </w:r>
          </w:p>
          <w:p w14:paraId="2DF0B133" w14:textId="77777777" w:rsidR="00FB2910" w:rsidRDefault="00B45C70">
            <w:pPr>
              <w:spacing w:line="288" w:lineRule="auto"/>
              <w:rPr>
                <w:szCs w:val="21"/>
              </w:rPr>
            </w:pPr>
            <w:r>
              <w:rPr>
                <w:rFonts w:hint="eastAsia"/>
                <w:szCs w:val="21"/>
              </w:rPr>
              <w:t xml:space="preserve">8. </w:t>
            </w:r>
            <w:r>
              <w:rPr>
                <w:rFonts w:hint="eastAsia"/>
                <w:szCs w:val="21"/>
              </w:rPr>
              <w:t>多区位报警功能：人体不同位置的多个被测物品通过安检门时会同时报警，并可以指示多个相应的位置。</w:t>
            </w:r>
          </w:p>
          <w:p w14:paraId="5B13CDE3" w14:textId="4D51D759" w:rsidR="00FB2910" w:rsidRDefault="00CC49DA">
            <w:pPr>
              <w:spacing w:line="288" w:lineRule="auto"/>
              <w:rPr>
                <w:szCs w:val="21"/>
              </w:rPr>
            </w:pPr>
            <w:r>
              <w:rPr>
                <w:rFonts w:ascii="仿宋" w:eastAsia="仿宋" w:hAnsi="仿宋" w:cs="仿宋" w:hint="eastAsia"/>
              </w:rPr>
              <w:t>●</w:t>
            </w:r>
            <w:r w:rsidR="00B45C70">
              <w:rPr>
                <w:rFonts w:hint="eastAsia"/>
                <w:szCs w:val="21"/>
              </w:rPr>
              <w:t xml:space="preserve">9. </w:t>
            </w:r>
            <w:r w:rsidR="00B45C70">
              <w:rPr>
                <w:rFonts w:hint="eastAsia"/>
                <w:szCs w:val="21"/>
              </w:rPr>
              <w:t>标配黑白名单功能，内控人员可通过人员识别对比成功后快速通行。</w:t>
            </w:r>
          </w:p>
          <w:p w14:paraId="09052D7C" w14:textId="60D6271A" w:rsidR="00FB2910" w:rsidRDefault="00CC49DA">
            <w:pPr>
              <w:spacing w:line="288" w:lineRule="auto"/>
              <w:rPr>
                <w:szCs w:val="21"/>
              </w:rPr>
            </w:pPr>
            <w:r>
              <w:rPr>
                <w:rFonts w:ascii="仿宋" w:eastAsia="仿宋" w:hAnsi="仿宋" w:cs="仿宋" w:hint="eastAsia"/>
              </w:rPr>
              <w:t>●</w:t>
            </w:r>
            <w:r w:rsidR="00B45C70">
              <w:rPr>
                <w:rFonts w:hint="eastAsia"/>
                <w:szCs w:val="21"/>
              </w:rPr>
              <w:t xml:space="preserve">10. </w:t>
            </w:r>
            <w:r w:rsidR="00B45C70">
              <w:rPr>
                <w:rFonts w:hint="eastAsia"/>
                <w:szCs w:val="21"/>
              </w:rPr>
              <w:t>选配人证核验功能检验：支持人证核验模块，提供制造商盖章检测报告佐证。</w:t>
            </w:r>
          </w:p>
          <w:p w14:paraId="0B8AC343" w14:textId="2C7BD5E5" w:rsidR="00FB2910" w:rsidRDefault="00CC49DA">
            <w:pPr>
              <w:spacing w:line="288" w:lineRule="auto"/>
              <w:rPr>
                <w:szCs w:val="21"/>
              </w:rPr>
            </w:pPr>
            <w:r>
              <w:rPr>
                <w:rFonts w:ascii="仿宋" w:eastAsia="仿宋" w:hAnsi="仿宋" w:cs="仿宋" w:hint="eastAsia"/>
              </w:rPr>
              <w:t>●</w:t>
            </w:r>
            <w:r w:rsidR="00B45C70">
              <w:rPr>
                <w:rFonts w:hint="eastAsia"/>
                <w:szCs w:val="21"/>
              </w:rPr>
              <w:t xml:space="preserve">11. </w:t>
            </w:r>
            <w:r w:rsidR="00B45C70">
              <w:rPr>
                <w:rFonts w:hint="eastAsia"/>
                <w:szCs w:val="21"/>
              </w:rPr>
              <w:t>查询功能：可在本地查询安检门持续工作时间，可通过自定义起始和结束的时间查询报警的日志信息，提供制造商盖章检测报告佐证。</w:t>
            </w:r>
          </w:p>
          <w:p w14:paraId="2132B058" w14:textId="77777777" w:rsidR="00FB2910" w:rsidRDefault="00B45C70">
            <w:pPr>
              <w:spacing w:line="288" w:lineRule="auto"/>
              <w:rPr>
                <w:szCs w:val="21"/>
              </w:rPr>
            </w:pPr>
            <w:r>
              <w:rPr>
                <w:rFonts w:hint="eastAsia"/>
                <w:szCs w:val="21"/>
              </w:rPr>
              <w:t xml:space="preserve">12. </w:t>
            </w:r>
            <w:r>
              <w:rPr>
                <w:rFonts w:hint="eastAsia"/>
                <w:szCs w:val="21"/>
              </w:rPr>
              <w:t>支持上传安检数据至服务器或者平台终端，实现智慧安检。</w:t>
            </w:r>
          </w:p>
          <w:p w14:paraId="0681A49C" w14:textId="3D5BFF9E" w:rsidR="00FB2910" w:rsidRDefault="00CC49DA">
            <w:pPr>
              <w:spacing w:line="288" w:lineRule="auto"/>
              <w:rPr>
                <w:szCs w:val="21"/>
              </w:rPr>
            </w:pPr>
            <w:r>
              <w:rPr>
                <w:rFonts w:ascii="仿宋" w:eastAsia="仿宋" w:hAnsi="仿宋" w:cs="仿宋" w:hint="eastAsia"/>
              </w:rPr>
              <w:t>●</w:t>
            </w:r>
            <w:r w:rsidR="00B45C70">
              <w:rPr>
                <w:rFonts w:hint="eastAsia"/>
                <w:szCs w:val="21"/>
              </w:rPr>
              <w:t xml:space="preserve">13. </w:t>
            </w:r>
            <w:r w:rsidR="00B45C70">
              <w:rPr>
                <w:rFonts w:hint="eastAsia"/>
                <w:szCs w:val="21"/>
              </w:rPr>
              <w:t>执行标准：</w:t>
            </w:r>
            <w:r w:rsidR="00B45C70">
              <w:rPr>
                <w:rFonts w:hint="eastAsia"/>
                <w:szCs w:val="21"/>
              </w:rPr>
              <w:t>GB15210-2018</w:t>
            </w:r>
            <w:r w:rsidR="00B45C70">
              <w:rPr>
                <w:rFonts w:hint="eastAsia"/>
                <w:szCs w:val="21"/>
              </w:rPr>
              <w:t>国家标准，提供制造商盖章的符合</w:t>
            </w:r>
            <w:r w:rsidR="00B45C70">
              <w:rPr>
                <w:rFonts w:hint="eastAsia"/>
                <w:szCs w:val="21"/>
              </w:rPr>
              <w:t>CAM</w:t>
            </w:r>
            <w:r w:rsidR="00B45C70">
              <w:rPr>
                <w:rFonts w:hint="eastAsia"/>
                <w:szCs w:val="21"/>
              </w:rPr>
              <w:t>和</w:t>
            </w:r>
            <w:r w:rsidR="00B45C70">
              <w:rPr>
                <w:rFonts w:hint="eastAsia"/>
                <w:szCs w:val="21"/>
              </w:rPr>
              <w:t>CNAS</w:t>
            </w:r>
            <w:r w:rsidR="00B45C70">
              <w:rPr>
                <w:rFonts w:hint="eastAsia"/>
                <w:szCs w:val="21"/>
              </w:rPr>
              <w:t>的第三方检测报告佐证，其中要求提供检测报告复印件的条款均须在检测报告中体现并满足，并逐项标注对应检测报告位置，未标</w:t>
            </w:r>
            <w:r w:rsidR="00B45C70">
              <w:rPr>
                <w:rFonts w:hint="eastAsia"/>
                <w:szCs w:val="21"/>
              </w:rPr>
              <w:lastRenderedPageBreak/>
              <w:t>注的视为不满足。</w:t>
            </w:r>
          </w:p>
          <w:p w14:paraId="0BE57A80" w14:textId="77777777" w:rsidR="00FB2910" w:rsidRDefault="00B45C70">
            <w:pPr>
              <w:spacing w:line="288" w:lineRule="auto"/>
              <w:rPr>
                <w:szCs w:val="21"/>
              </w:rPr>
            </w:pPr>
            <w:r>
              <w:rPr>
                <w:rFonts w:hint="eastAsia"/>
                <w:szCs w:val="21"/>
              </w:rPr>
              <w:t xml:space="preserve">14. </w:t>
            </w:r>
            <w:r>
              <w:rPr>
                <w:rFonts w:hint="eastAsia"/>
                <w:szCs w:val="21"/>
              </w:rPr>
              <w:t>为保证原厂设备及售后服务质量，须出具制造商针对本项目的售后服务承诺函。</w:t>
            </w:r>
          </w:p>
          <w:p w14:paraId="4D451DE1" w14:textId="77777777" w:rsidR="00FB2910" w:rsidRDefault="00B45C70">
            <w:pPr>
              <w:spacing w:line="288" w:lineRule="auto"/>
              <w:rPr>
                <w:szCs w:val="21"/>
              </w:rPr>
            </w:pPr>
            <w:r>
              <w:rPr>
                <w:rFonts w:hint="eastAsia"/>
                <w:szCs w:val="21"/>
              </w:rPr>
              <w:t xml:space="preserve">15. </w:t>
            </w:r>
            <w:r>
              <w:rPr>
                <w:rFonts w:hint="eastAsia"/>
                <w:szCs w:val="21"/>
              </w:rPr>
              <w:t>配备一把高灵敏度手持金属探测器的参数标准</w:t>
            </w:r>
          </w:p>
          <w:p w14:paraId="7F36DF24" w14:textId="3B900718" w:rsidR="00FB2910" w:rsidRDefault="00CC49DA">
            <w:pPr>
              <w:spacing w:line="288" w:lineRule="auto"/>
              <w:rPr>
                <w:szCs w:val="21"/>
              </w:rPr>
            </w:pPr>
            <w:r>
              <w:rPr>
                <w:rFonts w:ascii="仿宋" w:eastAsia="仿宋" w:hAnsi="仿宋" w:cs="仿宋" w:hint="eastAsia"/>
              </w:rPr>
              <w:t>●</w:t>
            </w:r>
            <w:r w:rsidR="00B45C70">
              <w:rPr>
                <w:rFonts w:hint="eastAsia"/>
                <w:szCs w:val="21"/>
              </w:rPr>
              <w:t>1</w:t>
            </w:r>
            <w:r w:rsidR="00B45C70">
              <w:rPr>
                <w:rFonts w:hint="eastAsia"/>
                <w:szCs w:val="21"/>
              </w:rPr>
              <w:t>、外形尺寸：≤</w:t>
            </w:r>
            <w:r w:rsidR="00B45C70">
              <w:rPr>
                <w:rFonts w:hint="eastAsia"/>
                <w:szCs w:val="21"/>
              </w:rPr>
              <w:t>306mm</w:t>
            </w:r>
            <w:r w:rsidR="00B45C70">
              <w:rPr>
                <w:rFonts w:hint="eastAsia"/>
                <w:szCs w:val="21"/>
              </w:rPr>
              <w:t>（长）</w:t>
            </w:r>
            <w:r w:rsidR="00B45C70">
              <w:rPr>
                <w:rFonts w:hint="eastAsia"/>
                <w:szCs w:val="21"/>
              </w:rPr>
              <w:t>*68mm</w:t>
            </w:r>
            <w:r w:rsidR="00B45C70">
              <w:rPr>
                <w:rFonts w:hint="eastAsia"/>
                <w:szCs w:val="21"/>
              </w:rPr>
              <w:t>（宽）</w:t>
            </w:r>
            <w:r w:rsidR="00B45C70">
              <w:rPr>
                <w:rFonts w:hint="eastAsia"/>
                <w:szCs w:val="21"/>
              </w:rPr>
              <w:t>*27mm</w:t>
            </w:r>
            <w:r w:rsidR="00B45C70">
              <w:rPr>
                <w:rFonts w:hint="eastAsia"/>
                <w:szCs w:val="21"/>
              </w:rPr>
              <w:t>（高）（需在公安部检测报告中体现）</w:t>
            </w:r>
          </w:p>
          <w:p w14:paraId="255E281E" w14:textId="3159BEDE" w:rsidR="00FB2910" w:rsidRDefault="00CC49DA">
            <w:pPr>
              <w:spacing w:line="288" w:lineRule="auto"/>
              <w:rPr>
                <w:szCs w:val="21"/>
              </w:rPr>
            </w:pPr>
            <w:r>
              <w:rPr>
                <w:rFonts w:ascii="仿宋" w:eastAsia="仿宋" w:hAnsi="仿宋" w:cs="仿宋" w:hint="eastAsia"/>
              </w:rPr>
              <w:t>●</w:t>
            </w:r>
            <w:r w:rsidR="00B45C70">
              <w:rPr>
                <w:rFonts w:hint="eastAsia"/>
                <w:szCs w:val="21"/>
              </w:rPr>
              <w:t>2</w:t>
            </w:r>
            <w:r w:rsidR="00B45C70">
              <w:rPr>
                <w:rFonts w:hint="eastAsia"/>
                <w:szCs w:val="21"/>
              </w:rPr>
              <w:t>、整机质量：应小于等于</w:t>
            </w:r>
            <w:r w:rsidR="00B45C70">
              <w:rPr>
                <w:rFonts w:hint="eastAsia"/>
                <w:szCs w:val="21"/>
              </w:rPr>
              <w:t>224g</w:t>
            </w:r>
            <w:r w:rsidR="00B45C70">
              <w:rPr>
                <w:rFonts w:hint="eastAsia"/>
                <w:szCs w:val="21"/>
              </w:rPr>
              <w:t>（包括电池）（需在公安部检测报告中体现）</w:t>
            </w:r>
          </w:p>
          <w:p w14:paraId="0ABC5FB5" w14:textId="77777777" w:rsidR="00FB2910" w:rsidRDefault="00B45C70">
            <w:pPr>
              <w:spacing w:line="288" w:lineRule="auto"/>
              <w:rPr>
                <w:szCs w:val="21"/>
                <w:lang w:val="zh-CN"/>
              </w:rPr>
            </w:pPr>
            <w:r>
              <w:rPr>
                <w:rFonts w:hint="eastAsia"/>
                <w:szCs w:val="21"/>
              </w:rPr>
              <w:t>3</w:t>
            </w:r>
            <w:r>
              <w:rPr>
                <w:rFonts w:hint="eastAsia"/>
                <w:szCs w:val="21"/>
              </w:rPr>
              <w:t>、充电功能：</w:t>
            </w:r>
            <w:r>
              <w:rPr>
                <w:rFonts w:hint="eastAsia"/>
                <w:szCs w:val="21"/>
                <w:lang w:val="zh-CN"/>
              </w:rPr>
              <w:t>具有充电适配器，可对内置可充电电池进行充电，充电完成时绿色常亮指示灯亮起</w:t>
            </w:r>
          </w:p>
          <w:p w14:paraId="0124E161" w14:textId="77777777" w:rsidR="00FB2910" w:rsidRDefault="00B45C70">
            <w:pPr>
              <w:spacing w:line="288" w:lineRule="auto"/>
              <w:rPr>
                <w:szCs w:val="21"/>
                <w:lang w:val="zh-CN"/>
              </w:rPr>
            </w:pPr>
            <w:r>
              <w:rPr>
                <w:rFonts w:hint="eastAsia"/>
                <w:szCs w:val="21"/>
              </w:rPr>
              <w:t>4</w:t>
            </w:r>
            <w:r>
              <w:rPr>
                <w:rFonts w:hint="eastAsia"/>
                <w:szCs w:val="21"/>
              </w:rPr>
              <w:t>、报警声音：</w:t>
            </w:r>
            <w:r>
              <w:rPr>
                <w:rFonts w:hint="eastAsia"/>
                <w:szCs w:val="21"/>
                <w:lang w:val="zh-CN"/>
              </w:rPr>
              <w:t>距</w:t>
            </w:r>
            <w:r>
              <w:rPr>
                <w:rFonts w:hint="eastAsia"/>
                <w:szCs w:val="21"/>
              </w:rPr>
              <w:t>离</w:t>
            </w:r>
            <w:r>
              <w:rPr>
                <w:rFonts w:hint="eastAsia"/>
                <w:szCs w:val="21"/>
                <w:lang w:val="zh-CN"/>
              </w:rPr>
              <w:t>0.8m</w:t>
            </w:r>
            <w:r>
              <w:rPr>
                <w:rFonts w:hint="eastAsia"/>
                <w:szCs w:val="21"/>
                <w:lang w:val="zh-CN"/>
              </w:rPr>
              <w:t>处的最大报警声强大于等于</w:t>
            </w:r>
            <w:r>
              <w:rPr>
                <w:rFonts w:hint="eastAsia"/>
                <w:szCs w:val="21"/>
              </w:rPr>
              <w:t>85</w:t>
            </w:r>
            <w:r>
              <w:rPr>
                <w:rFonts w:hint="eastAsia"/>
                <w:szCs w:val="21"/>
                <w:lang w:val="zh-CN"/>
              </w:rPr>
              <w:t>dB</w:t>
            </w:r>
            <w:r>
              <w:rPr>
                <w:rFonts w:hint="eastAsia"/>
                <w:szCs w:val="21"/>
                <w:lang w:val="zh-CN"/>
              </w:rPr>
              <w:t>（</w:t>
            </w:r>
            <w:r>
              <w:rPr>
                <w:rFonts w:hint="eastAsia"/>
                <w:szCs w:val="21"/>
                <w:lang w:val="zh-CN"/>
              </w:rPr>
              <w:t>A</w:t>
            </w:r>
            <w:r>
              <w:rPr>
                <w:rFonts w:hint="eastAsia"/>
                <w:szCs w:val="21"/>
                <w:lang w:val="zh-CN"/>
              </w:rPr>
              <w:t>），</w:t>
            </w:r>
            <w:r>
              <w:rPr>
                <w:rFonts w:hint="eastAsia"/>
                <w:szCs w:val="21"/>
              </w:rPr>
              <w:t>且</w:t>
            </w:r>
            <w:r>
              <w:rPr>
                <w:rFonts w:hint="eastAsia"/>
                <w:szCs w:val="21"/>
                <w:lang w:val="zh-CN"/>
              </w:rPr>
              <w:t>报警声与提示其他信息的声音有区别</w:t>
            </w:r>
          </w:p>
          <w:p w14:paraId="10137FB4" w14:textId="77777777" w:rsidR="00FB2910" w:rsidRDefault="00B45C70">
            <w:pPr>
              <w:spacing w:line="288" w:lineRule="auto"/>
              <w:rPr>
                <w:szCs w:val="21"/>
              </w:rPr>
            </w:pPr>
            <w:r>
              <w:rPr>
                <w:rFonts w:hint="eastAsia"/>
                <w:szCs w:val="21"/>
              </w:rPr>
              <w:t>5</w:t>
            </w:r>
            <w:r>
              <w:rPr>
                <w:rFonts w:hint="eastAsia"/>
                <w:szCs w:val="21"/>
              </w:rPr>
              <w:t>、欠压指示：</w:t>
            </w:r>
            <w:r>
              <w:rPr>
                <w:rFonts w:hint="eastAsia"/>
                <w:szCs w:val="21"/>
                <w:lang w:val="zh-CN"/>
              </w:rPr>
              <w:t>电池电压低于正常工作电压时，黄色常亮指示灯可亮起</w:t>
            </w:r>
          </w:p>
          <w:p w14:paraId="77C391DA" w14:textId="77777777" w:rsidR="00FB2910" w:rsidRDefault="00B45C70">
            <w:pPr>
              <w:spacing w:line="288" w:lineRule="auto"/>
              <w:rPr>
                <w:szCs w:val="21"/>
              </w:rPr>
            </w:pPr>
            <w:r>
              <w:rPr>
                <w:rFonts w:hint="eastAsia"/>
                <w:szCs w:val="21"/>
              </w:rPr>
              <w:t>6</w:t>
            </w:r>
            <w:r>
              <w:rPr>
                <w:rFonts w:hint="eastAsia"/>
                <w:szCs w:val="21"/>
              </w:rPr>
              <w:t>、报警恢复：</w:t>
            </w:r>
            <w:r>
              <w:rPr>
                <w:rFonts w:hint="eastAsia"/>
                <w:szCs w:val="21"/>
                <w:lang w:val="zh-CN"/>
              </w:rPr>
              <w:t>离开报警测试物规定的距离后，报警指示立即停止</w:t>
            </w:r>
          </w:p>
          <w:p w14:paraId="3A9C950F" w14:textId="77777777" w:rsidR="00FB2910" w:rsidRDefault="00B45C70">
            <w:pPr>
              <w:spacing w:line="288" w:lineRule="auto"/>
              <w:rPr>
                <w:szCs w:val="21"/>
              </w:rPr>
            </w:pPr>
            <w:r>
              <w:rPr>
                <w:rFonts w:hint="eastAsia"/>
                <w:szCs w:val="21"/>
              </w:rPr>
              <w:t>7</w:t>
            </w:r>
            <w:r>
              <w:rPr>
                <w:rFonts w:hint="eastAsia"/>
                <w:szCs w:val="21"/>
              </w:rPr>
              <w:t>、报警方式：声音或静默</w:t>
            </w:r>
          </w:p>
          <w:p w14:paraId="2DC0C88B" w14:textId="12FD0485" w:rsidR="00FB2910" w:rsidRDefault="00CC49DA">
            <w:pPr>
              <w:spacing w:line="288" w:lineRule="auto"/>
              <w:rPr>
                <w:szCs w:val="21"/>
              </w:rPr>
            </w:pPr>
            <w:r>
              <w:rPr>
                <w:rFonts w:ascii="仿宋" w:eastAsia="仿宋" w:hAnsi="仿宋" w:cs="仿宋" w:hint="eastAsia"/>
              </w:rPr>
              <w:t>●</w:t>
            </w:r>
            <w:r w:rsidR="00B45C70">
              <w:rPr>
                <w:rFonts w:hint="eastAsia"/>
                <w:szCs w:val="21"/>
              </w:rPr>
              <w:t>8</w:t>
            </w:r>
            <w:r w:rsidR="00B45C70">
              <w:rPr>
                <w:rFonts w:hint="eastAsia"/>
                <w:szCs w:val="21"/>
              </w:rPr>
              <w:t>、辐射磁感应强度：辐射磁感强度在表面任一点都小于等于</w:t>
            </w:r>
            <w:r w:rsidR="00B45C70">
              <w:rPr>
                <w:rFonts w:hint="eastAsia"/>
                <w:szCs w:val="21"/>
              </w:rPr>
              <w:t>9.4µT</w:t>
            </w:r>
            <w:r w:rsidR="00B45C70">
              <w:rPr>
                <w:rFonts w:hint="eastAsia"/>
                <w:szCs w:val="21"/>
              </w:rPr>
              <w:t>（需在公安部检测报告中体现）</w:t>
            </w:r>
          </w:p>
          <w:p w14:paraId="2F7F4070" w14:textId="00F4C27D" w:rsidR="00FB2910" w:rsidRDefault="00CC49DA">
            <w:pPr>
              <w:spacing w:line="288" w:lineRule="auto"/>
              <w:rPr>
                <w:szCs w:val="21"/>
              </w:rPr>
            </w:pPr>
            <w:r>
              <w:rPr>
                <w:rFonts w:ascii="仿宋" w:eastAsia="仿宋" w:hAnsi="仿宋" w:cs="仿宋" w:hint="eastAsia"/>
              </w:rPr>
              <w:t>●</w:t>
            </w:r>
            <w:r w:rsidR="00B45C70">
              <w:rPr>
                <w:rFonts w:hint="eastAsia"/>
                <w:szCs w:val="21"/>
              </w:rPr>
              <w:t>9</w:t>
            </w:r>
            <w:r w:rsidR="00B45C70">
              <w:rPr>
                <w:rFonts w:hint="eastAsia"/>
                <w:szCs w:val="21"/>
              </w:rPr>
              <w:t>、工作电流：待机电流≤</w:t>
            </w:r>
            <w:r w:rsidR="00B45C70">
              <w:rPr>
                <w:rFonts w:hint="eastAsia"/>
                <w:szCs w:val="21"/>
              </w:rPr>
              <w:t>9mA,</w:t>
            </w:r>
            <w:r w:rsidR="00B45C70">
              <w:rPr>
                <w:rFonts w:hint="eastAsia"/>
                <w:szCs w:val="21"/>
              </w:rPr>
              <w:t>声音报警状态下工作电流≤</w:t>
            </w:r>
            <w:r w:rsidR="00B45C70">
              <w:rPr>
                <w:rFonts w:hint="eastAsia"/>
                <w:szCs w:val="21"/>
              </w:rPr>
              <w:t>39mA</w:t>
            </w:r>
          </w:p>
          <w:p w14:paraId="1E5DF40E" w14:textId="5017EC5D" w:rsidR="00FB2910" w:rsidRDefault="00CC49DA">
            <w:pPr>
              <w:spacing w:line="288" w:lineRule="auto"/>
              <w:rPr>
                <w:szCs w:val="21"/>
              </w:rPr>
            </w:pPr>
            <w:r>
              <w:rPr>
                <w:rFonts w:ascii="仿宋" w:eastAsia="仿宋" w:hAnsi="仿宋" w:cs="仿宋" w:hint="eastAsia"/>
              </w:rPr>
              <w:t>●</w:t>
            </w:r>
            <w:r w:rsidR="00B45C70">
              <w:rPr>
                <w:rFonts w:hint="eastAsia"/>
                <w:szCs w:val="21"/>
              </w:rPr>
              <w:t>10</w:t>
            </w:r>
            <w:r w:rsidR="00B45C70">
              <w:rPr>
                <w:rFonts w:hint="eastAsia"/>
                <w:szCs w:val="21"/>
              </w:rPr>
              <w:t>、探测量显示功能：</w:t>
            </w:r>
            <w:r w:rsidR="00B45C70">
              <w:rPr>
                <w:rFonts w:hint="eastAsia"/>
                <w:szCs w:val="21"/>
                <w:lang w:val="zh-CN"/>
              </w:rPr>
              <w:t>U</w:t>
            </w:r>
            <w:r w:rsidR="00B45C70">
              <w:rPr>
                <w:rFonts w:hint="eastAsia"/>
                <w:szCs w:val="21"/>
                <w:lang w:val="zh-CN"/>
              </w:rPr>
              <w:t>型</w:t>
            </w:r>
            <w:r w:rsidR="00B45C70">
              <w:rPr>
                <w:rFonts w:hint="eastAsia"/>
                <w:szCs w:val="21"/>
                <w:lang w:val="zh-CN"/>
              </w:rPr>
              <w:t>16</w:t>
            </w:r>
            <w:r w:rsidR="00B45C70">
              <w:rPr>
                <w:rFonts w:hint="eastAsia"/>
                <w:szCs w:val="21"/>
                <w:lang w:val="zh-CN"/>
              </w:rPr>
              <w:t>级信号强度指示灯可根据探测到的金属量大小变化</w:t>
            </w:r>
          </w:p>
          <w:p w14:paraId="5D6A5D75" w14:textId="77777777" w:rsidR="00FB2910" w:rsidRDefault="00B45C70">
            <w:pPr>
              <w:spacing w:line="288" w:lineRule="auto"/>
              <w:rPr>
                <w:szCs w:val="21"/>
                <w:lang w:val="zh-CN"/>
              </w:rPr>
            </w:pPr>
            <w:r>
              <w:rPr>
                <w:rFonts w:hint="eastAsia"/>
                <w:szCs w:val="21"/>
              </w:rPr>
              <w:t>11</w:t>
            </w:r>
            <w:r>
              <w:rPr>
                <w:rFonts w:hint="eastAsia"/>
                <w:szCs w:val="21"/>
              </w:rPr>
              <w:t>、环境自适应功能：</w:t>
            </w:r>
            <w:r>
              <w:rPr>
                <w:rFonts w:hint="eastAsia"/>
                <w:szCs w:val="21"/>
                <w:lang w:val="zh-CN"/>
              </w:rPr>
              <w:t>具有环境自适应功能，探测时长大于规定的静止探测时长时，可忽略环境中金属引起的报警</w:t>
            </w:r>
          </w:p>
          <w:p w14:paraId="46BFA9C4" w14:textId="0E5275F2" w:rsidR="00FB2910" w:rsidRDefault="00CC49DA">
            <w:pPr>
              <w:spacing w:line="288" w:lineRule="auto"/>
              <w:rPr>
                <w:szCs w:val="21"/>
              </w:rPr>
            </w:pPr>
            <w:r>
              <w:rPr>
                <w:rFonts w:ascii="仿宋" w:eastAsia="仿宋" w:hAnsi="仿宋" w:cs="仿宋" w:hint="eastAsia"/>
              </w:rPr>
              <w:t>●</w:t>
            </w:r>
            <w:r w:rsidR="00B45C70">
              <w:rPr>
                <w:rFonts w:hint="eastAsia"/>
                <w:szCs w:val="21"/>
              </w:rPr>
              <w:t>12</w:t>
            </w:r>
            <w:r w:rsidR="00B45C70">
              <w:rPr>
                <w:rFonts w:hint="eastAsia"/>
                <w:szCs w:val="21"/>
              </w:rPr>
              <w:t>、提供所投产品符合《</w:t>
            </w:r>
            <w:r w:rsidR="00B45C70">
              <w:rPr>
                <w:rFonts w:hint="eastAsia"/>
                <w:szCs w:val="21"/>
              </w:rPr>
              <w:t>GB12899-2018</w:t>
            </w:r>
            <w:r w:rsidR="00B45C70">
              <w:rPr>
                <w:rFonts w:hint="eastAsia"/>
                <w:szCs w:val="21"/>
              </w:rPr>
              <w:t>手持金属探测器通用技术规范》标准的公安部检验报告（检验报告日期须知招标公告日期之前）。在公安部检验报告中体现的参数需注明公安部检验报告对应页码和款项、中标后签订合同前产品供应商需提供原件做真实性查验。</w:t>
            </w:r>
          </w:p>
          <w:p w14:paraId="1CAC9AB4" w14:textId="77777777" w:rsidR="00FB2910" w:rsidRDefault="00FB2910">
            <w:pPr>
              <w:spacing w:line="288" w:lineRule="auto"/>
              <w:rPr>
                <w:szCs w:val="21"/>
              </w:rPr>
            </w:pPr>
          </w:p>
          <w:p w14:paraId="398DF7F9" w14:textId="77777777" w:rsidR="00FB2910" w:rsidRDefault="00FB2910">
            <w:pPr>
              <w:spacing w:line="340" w:lineRule="exact"/>
              <w:rPr>
                <w:rFonts w:asciiTheme="majorEastAsia" w:eastAsiaTheme="majorEastAsia" w:hAnsiTheme="majorEastAsia" w:cstheme="majorEastAsia"/>
                <w:szCs w:val="21"/>
              </w:rPr>
            </w:pPr>
          </w:p>
        </w:tc>
        <w:tc>
          <w:tcPr>
            <w:tcW w:w="819" w:type="dxa"/>
            <w:tcBorders>
              <w:top w:val="single" w:sz="4" w:space="0" w:color="auto"/>
              <w:left w:val="single" w:sz="4" w:space="0" w:color="auto"/>
              <w:bottom w:val="single" w:sz="4" w:space="0" w:color="auto"/>
              <w:right w:val="single" w:sz="4" w:space="0" w:color="auto"/>
            </w:tcBorders>
            <w:noWrap/>
            <w:vAlign w:val="center"/>
          </w:tcPr>
          <w:p w14:paraId="5CB55961" w14:textId="77777777" w:rsidR="00FB2910" w:rsidRDefault="00FB2910">
            <w:pPr>
              <w:widowControl/>
              <w:spacing w:line="340" w:lineRule="exact"/>
              <w:jc w:val="center"/>
              <w:rPr>
                <w:rFonts w:asciiTheme="majorEastAsia" w:eastAsiaTheme="majorEastAsia" w:hAnsiTheme="majorEastAsia" w:cstheme="majorEastAsia"/>
                <w:kern w:val="0"/>
                <w:szCs w:val="21"/>
              </w:rPr>
            </w:pPr>
          </w:p>
          <w:p w14:paraId="7FF70B99" w14:textId="77777777" w:rsidR="00FB2910" w:rsidRDefault="00FB2910">
            <w:pPr>
              <w:widowControl/>
              <w:spacing w:line="340" w:lineRule="exact"/>
              <w:jc w:val="center"/>
              <w:rPr>
                <w:rFonts w:asciiTheme="majorEastAsia" w:eastAsiaTheme="majorEastAsia" w:hAnsiTheme="majorEastAsia" w:cstheme="majorEastAsia"/>
                <w:kern w:val="0"/>
                <w:szCs w:val="21"/>
              </w:rPr>
            </w:pPr>
          </w:p>
          <w:p w14:paraId="671B1685" w14:textId="77777777" w:rsidR="00FB2910" w:rsidRDefault="00B45C70">
            <w:pPr>
              <w:widowControl/>
              <w:spacing w:line="340" w:lineRule="exact"/>
              <w:jc w:val="center"/>
              <w:rPr>
                <w:rFonts w:asciiTheme="majorEastAsia" w:eastAsiaTheme="majorEastAsia" w:hAnsiTheme="majorEastAsia" w:cstheme="majorEastAsia"/>
                <w:kern w:val="0"/>
                <w:szCs w:val="21"/>
              </w:rPr>
            </w:pPr>
            <w:r>
              <w:rPr>
                <w:rFonts w:asciiTheme="majorEastAsia" w:eastAsiaTheme="majorEastAsia" w:hAnsiTheme="majorEastAsia" w:cstheme="majorEastAsia" w:hint="eastAsia"/>
                <w:kern w:val="0"/>
                <w:szCs w:val="21"/>
              </w:rPr>
              <w:t>14</w:t>
            </w:r>
          </w:p>
        </w:tc>
        <w:tc>
          <w:tcPr>
            <w:tcW w:w="885" w:type="dxa"/>
            <w:tcBorders>
              <w:top w:val="single" w:sz="4" w:space="0" w:color="auto"/>
              <w:left w:val="single" w:sz="4" w:space="0" w:color="auto"/>
              <w:bottom w:val="single" w:sz="4" w:space="0" w:color="auto"/>
              <w:right w:val="single" w:sz="4" w:space="0" w:color="auto"/>
            </w:tcBorders>
            <w:noWrap/>
            <w:vAlign w:val="center"/>
          </w:tcPr>
          <w:p w14:paraId="62A975A3" w14:textId="77777777" w:rsidR="00FB2910" w:rsidRDefault="00FB2910">
            <w:pPr>
              <w:widowControl/>
              <w:spacing w:line="340" w:lineRule="exact"/>
              <w:jc w:val="center"/>
              <w:rPr>
                <w:rFonts w:asciiTheme="majorEastAsia" w:eastAsiaTheme="majorEastAsia" w:hAnsiTheme="majorEastAsia" w:cstheme="majorEastAsia"/>
                <w:kern w:val="0"/>
                <w:szCs w:val="21"/>
              </w:rPr>
            </w:pPr>
          </w:p>
          <w:p w14:paraId="0D716BC5" w14:textId="77777777" w:rsidR="00FB2910" w:rsidRDefault="00FB2910">
            <w:pPr>
              <w:widowControl/>
              <w:spacing w:line="340" w:lineRule="exact"/>
              <w:jc w:val="center"/>
              <w:rPr>
                <w:rFonts w:asciiTheme="majorEastAsia" w:eastAsiaTheme="majorEastAsia" w:hAnsiTheme="majorEastAsia" w:cstheme="majorEastAsia"/>
                <w:kern w:val="0"/>
                <w:szCs w:val="21"/>
              </w:rPr>
            </w:pPr>
          </w:p>
          <w:p w14:paraId="1F90A95C" w14:textId="77777777" w:rsidR="00FB2910" w:rsidRDefault="00B45C70">
            <w:pPr>
              <w:widowControl/>
              <w:spacing w:line="340" w:lineRule="exact"/>
              <w:jc w:val="center"/>
              <w:rPr>
                <w:rFonts w:asciiTheme="majorEastAsia" w:eastAsiaTheme="majorEastAsia" w:hAnsiTheme="majorEastAsia" w:cstheme="majorEastAsia"/>
                <w:kern w:val="0"/>
                <w:szCs w:val="21"/>
              </w:rPr>
            </w:pPr>
            <w:r>
              <w:rPr>
                <w:rFonts w:asciiTheme="majorEastAsia" w:eastAsiaTheme="majorEastAsia" w:hAnsiTheme="majorEastAsia" w:cstheme="majorEastAsia" w:hint="eastAsia"/>
                <w:kern w:val="0"/>
                <w:szCs w:val="21"/>
              </w:rPr>
              <w:t>台</w:t>
            </w:r>
          </w:p>
        </w:tc>
        <w:tc>
          <w:tcPr>
            <w:tcW w:w="1419" w:type="dxa"/>
            <w:tcBorders>
              <w:top w:val="single" w:sz="4" w:space="0" w:color="auto"/>
              <w:left w:val="single" w:sz="4" w:space="0" w:color="auto"/>
              <w:bottom w:val="single" w:sz="4" w:space="0" w:color="auto"/>
              <w:right w:val="single" w:sz="4" w:space="0" w:color="auto"/>
            </w:tcBorders>
            <w:vAlign w:val="center"/>
          </w:tcPr>
          <w:p w14:paraId="7869C354" w14:textId="558D8E81" w:rsidR="00FB2910" w:rsidRDefault="00B45C70" w:rsidP="004619BB">
            <w:pPr>
              <w:widowControl/>
              <w:spacing w:line="340" w:lineRule="exact"/>
              <w:jc w:val="left"/>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2025年12月20日—21日</w:t>
            </w:r>
            <w:r w:rsidR="004176BE">
              <w:rPr>
                <w:rFonts w:asciiTheme="majorEastAsia" w:eastAsiaTheme="majorEastAsia" w:hAnsiTheme="majorEastAsia" w:cstheme="majorEastAsia" w:hint="eastAsia"/>
                <w:szCs w:val="21"/>
              </w:rPr>
              <w:t>成龙校区考点</w:t>
            </w:r>
            <w:r>
              <w:rPr>
                <w:rFonts w:asciiTheme="majorEastAsia" w:eastAsiaTheme="majorEastAsia" w:hAnsiTheme="majorEastAsia" w:cstheme="majorEastAsia" w:hint="eastAsia"/>
                <w:szCs w:val="21"/>
              </w:rPr>
              <w:t>使用</w:t>
            </w:r>
            <w:r w:rsidR="004176BE">
              <w:rPr>
                <w:rFonts w:asciiTheme="majorEastAsia" w:eastAsiaTheme="majorEastAsia" w:hAnsiTheme="majorEastAsia" w:cstheme="majorEastAsia" w:hint="eastAsia"/>
                <w:szCs w:val="21"/>
              </w:rPr>
              <w:t>1</w:t>
            </w:r>
            <w:r w:rsidR="00230C81">
              <w:rPr>
                <w:rFonts w:asciiTheme="majorEastAsia" w:eastAsiaTheme="majorEastAsia" w:hAnsiTheme="majorEastAsia" w:cstheme="majorEastAsia"/>
                <w:szCs w:val="21"/>
              </w:rPr>
              <w:t>1</w:t>
            </w:r>
            <w:bookmarkStart w:id="0" w:name="_GoBack"/>
            <w:bookmarkEnd w:id="0"/>
            <w:r>
              <w:rPr>
                <w:rFonts w:asciiTheme="majorEastAsia" w:eastAsiaTheme="majorEastAsia" w:hAnsiTheme="majorEastAsia" w:cstheme="majorEastAsia" w:hint="eastAsia"/>
                <w:szCs w:val="21"/>
              </w:rPr>
              <w:t>台，2026年1月</w:t>
            </w:r>
            <w:r w:rsidR="004619BB">
              <w:rPr>
                <w:rFonts w:asciiTheme="majorEastAsia" w:eastAsiaTheme="majorEastAsia" w:hAnsiTheme="majorEastAsia" w:cstheme="majorEastAsia" w:hint="eastAsia"/>
                <w:szCs w:val="21"/>
              </w:rPr>
              <w:t>（具体</w:t>
            </w:r>
            <w:r w:rsidR="004619BB">
              <w:rPr>
                <w:rFonts w:asciiTheme="majorEastAsia" w:eastAsiaTheme="majorEastAsia" w:hAnsiTheme="majorEastAsia" w:cstheme="majorEastAsia" w:hint="eastAsia"/>
                <w:szCs w:val="21"/>
              </w:rPr>
              <w:t>时间届时按考试院安排为准</w:t>
            </w:r>
            <w:r w:rsidR="004619BB">
              <w:rPr>
                <w:rFonts w:asciiTheme="majorEastAsia" w:eastAsiaTheme="majorEastAsia" w:hAnsiTheme="majorEastAsia" w:cstheme="majorEastAsia" w:hint="eastAsia"/>
                <w:szCs w:val="21"/>
              </w:rPr>
              <w:t>）</w:t>
            </w:r>
            <w:r w:rsidR="004176BE">
              <w:rPr>
                <w:rFonts w:asciiTheme="majorEastAsia" w:eastAsiaTheme="majorEastAsia" w:hAnsiTheme="majorEastAsia" w:cstheme="majorEastAsia" w:hint="eastAsia"/>
                <w:szCs w:val="21"/>
              </w:rPr>
              <w:t>狮子山校区使</w:t>
            </w:r>
            <w:r>
              <w:rPr>
                <w:rFonts w:asciiTheme="majorEastAsia" w:eastAsiaTheme="majorEastAsia" w:hAnsiTheme="majorEastAsia" w:cstheme="majorEastAsia" w:hint="eastAsia"/>
                <w:szCs w:val="21"/>
              </w:rPr>
              <w:t>用 3台</w:t>
            </w:r>
            <w:r w:rsidR="004176BE">
              <w:rPr>
                <w:rFonts w:asciiTheme="majorEastAsia" w:eastAsiaTheme="majorEastAsia" w:hAnsiTheme="majorEastAsia" w:cstheme="majorEastAsia" w:hint="eastAsia"/>
                <w:szCs w:val="21"/>
              </w:rPr>
              <w:t>约</w:t>
            </w:r>
            <w:r w:rsidR="004176BE">
              <w:rPr>
                <w:rFonts w:asciiTheme="majorEastAsia" w:eastAsiaTheme="majorEastAsia" w:hAnsiTheme="majorEastAsia" w:cstheme="majorEastAsia"/>
                <w:szCs w:val="21"/>
              </w:rPr>
              <w:t>6</w:t>
            </w:r>
            <w:r w:rsidR="004176BE">
              <w:rPr>
                <w:rFonts w:asciiTheme="majorEastAsia" w:eastAsiaTheme="majorEastAsia" w:hAnsiTheme="majorEastAsia" w:cstheme="majorEastAsia" w:hint="eastAsia"/>
                <w:szCs w:val="21"/>
              </w:rPr>
              <w:t>天</w:t>
            </w:r>
          </w:p>
          <w:p w14:paraId="3A56EB45" w14:textId="6F706FCB" w:rsidR="00FB2910" w:rsidRDefault="00FB2910">
            <w:pPr>
              <w:widowControl/>
              <w:spacing w:line="340" w:lineRule="exact"/>
              <w:jc w:val="center"/>
              <w:rPr>
                <w:rFonts w:ascii="仿宋" w:eastAsiaTheme="majorEastAsia" w:hAnsi="仿宋" w:cs="宋体"/>
                <w:kern w:val="0"/>
                <w:sz w:val="24"/>
              </w:rPr>
            </w:pPr>
          </w:p>
        </w:tc>
      </w:tr>
      <w:tr w:rsidR="00FB2910" w14:paraId="21CF83EB" w14:textId="77777777">
        <w:trPr>
          <w:trHeight w:val="2013"/>
          <w:jc w:val="center"/>
        </w:trPr>
        <w:tc>
          <w:tcPr>
            <w:tcW w:w="1058" w:type="dxa"/>
            <w:tcBorders>
              <w:top w:val="single" w:sz="4" w:space="0" w:color="auto"/>
              <w:left w:val="single" w:sz="4" w:space="0" w:color="auto"/>
              <w:bottom w:val="single" w:sz="4" w:space="0" w:color="auto"/>
              <w:right w:val="single" w:sz="4" w:space="0" w:color="auto"/>
            </w:tcBorders>
            <w:noWrap/>
            <w:vAlign w:val="center"/>
          </w:tcPr>
          <w:p w14:paraId="03A0768E" w14:textId="77777777" w:rsidR="00FB2910" w:rsidRDefault="00B45C70">
            <w:pPr>
              <w:widowControl/>
              <w:spacing w:line="340" w:lineRule="exact"/>
              <w:jc w:val="center"/>
              <w:rPr>
                <w:rFonts w:asciiTheme="majorEastAsia" w:eastAsiaTheme="majorEastAsia" w:hAnsiTheme="majorEastAsia" w:cstheme="majorEastAsia"/>
                <w:kern w:val="0"/>
                <w:szCs w:val="21"/>
              </w:rPr>
            </w:pPr>
            <w:r>
              <w:rPr>
                <w:rFonts w:asciiTheme="majorEastAsia" w:eastAsiaTheme="majorEastAsia" w:hAnsiTheme="majorEastAsia" w:cstheme="majorEastAsia" w:hint="eastAsia"/>
                <w:kern w:val="0"/>
                <w:szCs w:val="21"/>
              </w:rPr>
              <w:t>备注</w:t>
            </w:r>
          </w:p>
        </w:tc>
        <w:tc>
          <w:tcPr>
            <w:tcW w:w="6653" w:type="dxa"/>
            <w:tcBorders>
              <w:top w:val="single" w:sz="4" w:space="0" w:color="auto"/>
              <w:left w:val="single" w:sz="4" w:space="0" w:color="auto"/>
              <w:bottom w:val="single" w:sz="4" w:space="0" w:color="auto"/>
              <w:right w:val="single" w:sz="4" w:space="0" w:color="auto"/>
            </w:tcBorders>
            <w:vAlign w:val="center"/>
          </w:tcPr>
          <w:p w14:paraId="521BA0FC" w14:textId="77777777" w:rsidR="00FB2910" w:rsidRDefault="00FB2910">
            <w:pPr>
              <w:spacing w:line="340" w:lineRule="exact"/>
              <w:rPr>
                <w:rFonts w:asciiTheme="majorEastAsia" w:eastAsiaTheme="majorEastAsia" w:hAnsiTheme="majorEastAsia" w:cstheme="majorEastAsia"/>
                <w:kern w:val="0"/>
                <w:szCs w:val="21"/>
                <w:lang w:bidi="ar"/>
              </w:rPr>
            </w:pPr>
          </w:p>
        </w:tc>
        <w:tc>
          <w:tcPr>
            <w:tcW w:w="819" w:type="dxa"/>
            <w:tcBorders>
              <w:top w:val="single" w:sz="4" w:space="0" w:color="auto"/>
              <w:left w:val="single" w:sz="4" w:space="0" w:color="auto"/>
              <w:bottom w:val="single" w:sz="4" w:space="0" w:color="auto"/>
              <w:right w:val="single" w:sz="4" w:space="0" w:color="auto"/>
            </w:tcBorders>
            <w:noWrap/>
            <w:vAlign w:val="center"/>
          </w:tcPr>
          <w:p w14:paraId="0827DAD9" w14:textId="77777777" w:rsidR="00FB2910" w:rsidRDefault="00FB2910">
            <w:pPr>
              <w:widowControl/>
              <w:spacing w:line="340" w:lineRule="exact"/>
              <w:jc w:val="center"/>
              <w:rPr>
                <w:rFonts w:asciiTheme="majorEastAsia" w:eastAsiaTheme="majorEastAsia" w:hAnsiTheme="majorEastAsia" w:cstheme="majorEastAsia"/>
                <w:kern w:val="0"/>
                <w:szCs w:val="21"/>
              </w:rPr>
            </w:pPr>
          </w:p>
        </w:tc>
        <w:tc>
          <w:tcPr>
            <w:tcW w:w="885" w:type="dxa"/>
            <w:tcBorders>
              <w:top w:val="single" w:sz="4" w:space="0" w:color="auto"/>
              <w:left w:val="single" w:sz="4" w:space="0" w:color="auto"/>
              <w:bottom w:val="single" w:sz="4" w:space="0" w:color="auto"/>
              <w:right w:val="single" w:sz="4" w:space="0" w:color="auto"/>
            </w:tcBorders>
            <w:noWrap/>
            <w:vAlign w:val="center"/>
          </w:tcPr>
          <w:p w14:paraId="56E45B78" w14:textId="77777777" w:rsidR="00FB2910" w:rsidRDefault="00FB2910">
            <w:pPr>
              <w:widowControl/>
              <w:spacing w:line="340" w:lineRule="exact"/>
              <w:jc w:val="center"/>
              <w:rPr>
                <w:rFonts w:asciiTheme="majorEastAsia" w:eastAsiaTheme="majorEastAsia" w:hAnsiTheme="majorEastAsia" w:cstheme="majorEastAsia"/>
                <w:kern w:val="0"/>
                <w:szCs w:val="21"/>
              </w:rPr>
            </w:pPr>
          </w:p>
        </w:tc>
        <w:tc>
          <w:tcPr>
            <w:tcW w:w="1419" w:type="dxa"/>
            <w:tcBorders>
              <w:top w:val="single" w:sz="4" w:space="0" w:color="auto"/>
              <w:left w:val="single" w:sz="4" w:space="0" w:color="auto"/>
              <w:bottom w:val="single" w:sz="4" w:space="0" w:color="auto"/>
              <w:right w:val="single" w:sz="4" w:space="0" w:color="auto"/>
            </w:tcBorders>
            <w:vAlign w:val="center"/>
          </w:tcPr>
          <w:p w14:paraId="64186195" w14:textId="77777777" w:rsidR="00FB2910" w:rsidRDefault="00FB2910">
            <w:pPr>
              <w:widowControl/>
              <w:spacing w:line="340" w:lineRule="exact"/>
              <w:rPr>
                <w:rFonts w:asciiTheme="majorEastAsia" w:eastAsiaTheme="majorEastAsia" w:hAnsiTheme="majorEastAsia" w:cstheme="majorEastAsia"/>
                <w:szCs w:val="21"/>
              </w:rPr>
            </w:pPr>
          </w:p>
        </w:tc>
      </w:tr>
    </w:tbl>
    <w:p w14:paraId="56692C1D" w14:textId="77777777" w:rsidR="00FB2910" w:rsidRDefault="00FB2910">
      <w:pPr>
        <w:ind w:firstLineChars="200" w:firstLine="640"/>
        <w:rPr>
          <w:rFonts w:ascii="仿宋_GB2312" w:eastAsia="仿宋_GB2312" w:hAnsi="仿宋"/>
          <w:sz w:val="32"/>
          <w:szCs w:val="32"/>
        </w:rPr>
      </w:pPr>
    </w:p>
    <w:p w14:paraId="5CA0A57F" w14:textId="77777777" w:rsidR="00FB2910" w:rsidRDefault="00FB2910">
      <w:pPr>
        <w:ind w:firstLineChars="700" w:firstLine="1476"/>
        <w:rPr>
          <w:b/>
          <w:bCs/>
          <w:color w:val="0000FF"/>
        </w:rPr>
      </w:pPr>
    </w:p>
    <w:sectPr w:rsidR="00FB29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5FB6D7" w14:textId="77777777" w:rsidR="00FD5ED2" w:rsidRDefault="00FD5ED2" w:rsidP="00CC49DA">
      <w:r>
        <w:separator/>
      </w:r>
    </w:p>
  </w:endnote>
  <w:endnote w:type="continuationSeparator" w:id="0">
    <w:p w14:paraId="70B8C21A" w14:textId="77777777" w:rsidR="00FD5ED2" w:rsidRDefault="00FD5ED2" w:rsidP="00CC49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000DA6" w14:textId="77777777" w:rsidR="00FD5ED2" w:rsidRDefault="00FD5ED2" w:rsidP="00CC49DA">
      <w:r>
        <w:separator/>
      </w:r>
    </w:p>
  </w:footnote>
  <w:footnote w:type="continuationSeparator" w:id="0">
    <w:p w14:paraId="0BC3590D" w14:textId="77777777" w:rsidR="00FD5ED2" w:rsidRDefault="00FD5ED2" w:rsidP="00CC49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E6F3F80"/>
    <w:multiLevelType w:val="singleLevel"/>
    <w:tmpl w:val="FE6F3F80"/>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1ZDQyNWMyN2U5ODIxNzY5MzUwMmZlMWVmNmM2Y2QifQ=="/>
  </w:docVars>
  <w:rsids>
    <w:rsidRoot w:val="5C477574"/>
    <w:rsid w:val="00230C81"/>
    <w:rsid w:val="004176BE"/>
    <w:rsid w:val="004619BB"/>
    <w:rsid w:val="00863C03"/>
    <w:rsid w:val="00B45C70"/>
    <w:rsid w:val="00B924FD"/>
    <w:rsid w:val="00CC49DA"/>
    <w:rsid w:val="00FB2910"/>
    <w:rsid w:val="00FD5ED2"/>
    <w:rsid w:val="01D677D7"/>
    <w:rsid w:val="01F51C14"/>
    <w:rsid w:val="02DD0510"/>
    <w:rsid w:val="09421739"/>
    <w:rsid w:val="09ED1D71"/>
    <w:rsid w:val="0F317662"/>
    <w:rsid w:val="0F817C7F"/>
    <w:rsid w:val="13F56BD4"/>
    <w:rsid w:val="17A7543E"/>
    <w:rsid w:val="17B40EE9"/>
    <w:rsid w:val="1B88053A"/>
    <w:rsid w:val="1F5B2BE8"/>
    <w:rsid w:val="241E0147"/>
    <w:rsid w:val="24335F81"/>
    <w:rsid w:val="29045548"/>
    <w:rsid w:val="2E5F669F"/>
    <w:rsid w:val="2F9E53B5"/>
    <w:rsid w:val="32CF3801"/>
    <w:rsid w:val="33FB5E74"/>
    <w:rsid w:val="34EE524E"/>
    <w:rsid w:val="3B0F5F1E"/>
    <w:rsid w:val="3B810A35"/>
    <w:rsid w:val="41A05B22"/>
    <w:rsid w:val="428E1E1E"/>
    <w:rsid w:val="46933EA7"/>
    <w:rsid w:val="470503AE"/>
    <w:rsid w:val="47E9303B"/>
    <w:rsid w:val="490D3CC3"/>
    <w:rsid w:val="4BE41EB5"/>
    <w:rsid w:val="4E6A1991"/>
    <w:rsid w:val="53D43732"/>
    <w:rsid w:val="5AE63257"/>
    <w:rsid w:val="5C3B496D"/>
    <w:rsid w:val="5C477574"/>
    <w:rsid w:val="5EB8393D"/>
    <w:rsid w:val="62031A89"/>
    <w:rsid w:val="6529547A"/>
    <w:rsid w:val="66C607EF"/>
    <w:rsid w:val="67FB548B"/>
    <w:rsid w:val="69992CD3"/>
    <w:rsid w:val="6FC21131"/>
    <w:rsid w:val="6FDF075E"/>
    <w:rsid w:val="705B077D"/>
    <w:rsid w:val="74087BAF"/>
    <w:rsid w:val="760616F0"/>
    <w:rsid w:val="7E351F5A"/>
    <w:rsid w:val="7E9F2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49F8DA9"/>
  <w15:docId w15:val="{563ABEA2-2436-4928-8FCB-BAAA731C0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envelope return" w:qFormat="1"/>
    <w:lsdException w:name="page number" w:qFormat="1"/>
    <w:lsdException w:name="Title" w:qFormat="1"/>
    <w:lsdException w:name="Default Paragraph Font" w:semiHidden="1" w:qFormat="1"/>
    <w:lsdException w:name="Body Text" w:uiPriority="1" w:qFormat="1"/>
    <w:lsdException w:name="Body Text Indent" w:qFormat="1"/>
    <w:lsdException w:name="Subtitle" w:qFormat="1"/>
    <w:lsdException w:name="Date" w:qFormat="1"/>
    <w:lsdException w:name="Body Text First Indent" w:qFormat="1"/>
    <w:lsdException w:name="Body Text First Indent 2"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9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pacing w:before="340" w:after="330" w:line="576" w:lineRule="auto"/>
      <w:outlineLvl w:val="0"/>
    </w:pPr>
    <w:rPr>
      <w:b/>
      <w:bCs/>
      <w:kern w:val="44"/>
      <w:sz w:val="30"/>
      <w:szCs w:val="44"/>
    </w:rPr>
  </w:style>
  <w:style w:type="paragraph" w:styleId="2">
    <w:name w:val="heading 2"/>
    <w:basedOn w:val="a"/>
    <w:next w:val="a"/>
    <w:qFormat/>
    <w:pPr>
      <w:keepNext/>
      <w:keepLines/>
      <w:spacing w:before="260" w:after="260" w:line="415" w:lineRule="auto"/>
      <w:outlineLvl w:val="1"/>
    </w:pPr>
    <w:rPr>
      <w:rFonts w:ascii="Arial" w:eastAsia="黑体" w:hAnsi="Arial"/>
      <w:b/>
      <w:kern w:val="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4"/>
    <w:uiPriority w:val="1"/>
    <w:qFormat/>
    <w:pPr>
      <w:autoSpaceDE w:val="0"/>
      <w:autoSpaceDN w:val="0"/>
      <w:spacing w:before="43"/>
      <w:ind w:left="420"/>
      <w:jc w:val="left"/>
    </w:pPr>
    <w:rPr>
      <w:rFonts w:ascii="宋体" w:hAnsi="宋体" w:cs="宋体"/>
      <w:kern w:val="0"/>
      <w:szCs w:val="21"/>
      <w:lang w:eastAsia="en-US"/>
    </w:rPr>
  </w:style>
  <w:style w:type="paragraph" w:styleId="a4">
    <w:name w:val="Date"/>
    <w:basedOn w:val="a"/>
    <w:next w:val="a"/>
    <w:qFormat/>
    <w:pPr>
      <w:ind w:leftChars="2500" w:left="100"/>
    </w:pPr>
    <w:rPr>
      <w:b/>
      <w:bCs/>
      <w:sz w:val="36"/>
    </w:rPr>
  </w:style>
  <w:style w:type="paragraph" w:styleId="a5">
    <w:name w:val="Body Text Indent"/>
    <w:basedOn w:val="a"/>
    <w:qFormat/>
    <w:pPr>
      <w:ind w:firstLine="540"/>
    </w:pPr>
    <w:rPr>
      <w:rFonts w:eastAsia="仿宋_GB2312"/>
      <w:sz w:val="28"/>
    </w:rPr>
  </w:style>
  <w:style w:type="paragraph" w:styleId="a6">
    <w:name w:val="footer"/>
    <w:basedOn w:val="a"/>
    <w:qFormat/>
    <w:pPr>
      <w:tabs>
        <w:tab w:val="center" w:pos="4153"/>
        <w:tab w:val="right" w:pos="8306"/>
      </w:tabs>
      <w:snapToGrid w:val="0"/>
      <w:jc w:val="left"/>
    </w:pPr>
    <w:rPr>
      <w:sz w:val="18"/>
      <w:szCs w:val="18"/>
    </w:rPr>
  </w:style>
  <w:style w:type="paragraph" w:styleId="a7">
    <w:name w:val="envelope return"/>
    <w:basedOn w:val="a"/>
    <w:qFormat/>
    <w:pPr>
      <w:snapToGrid w:val="0"/>
    </w:pPr>
    <w:rPr>
      <w:rFonts w:ascii="Arial" w:hAnsi="Arial"/>
    </w:rPr>
  </w:style>
  <w:style w:type="paragraph" w:styleId="a8">
    <w:name w:val="Body Text First Indent"/>
    <w:basedOn w:val="a3"/>
    <w:next w:val="20"/>
    <w:qFormat/>
    <w:pPr>
      <w:ind w:firstLineChars="100" w:firstLine="420"/>
    </w:pPr>
  </w:style>
  <w:style w:type="paragraph" w:styleId="20">
    <w:name w:val="Body Text First Indent 2"/>
    <w:basedOn w:val="a5"/>
    <w:next w:val="a3"/>
    <w:qFormat/>
    <w:pPr>
      <w:ind w:firstLineChars="200" w:firstLine="420"/>
    </w:pPr>
    <w:rPr>
      <w:szCs w:val="24"/>
    </w:rPr>
  </w:style>
  <w:style w:type="table" w:styleId="a9">
    <w:name w:val="Table Grid"/>
    <w:basedOn w:val="a1"/>
    <w:uiPriority w:val="99"/>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age number"/>
    <w:qFormat/>
  </w:style>
  <w:style w:type="character" w:styleId="ab">
    <w:name w:val="Hyperlink"/>
    <w:qFormat/>
    <w:rPr>
      <w:color w:val="0000FF"/>
      <w:u w:val="single"/>
    </w:rPr>
  </w:style>
  <w:style w:type="paragraph" w:customStyle="1" w:styleId="ac">
    <w:name w:val="模板普通正文"/>
    <w:basedOn w:val="a5"/>
    <w:qFormat/>
    <w:pPr>
      <w:spacing w:beforeLines="50" w:after="10"/>
      <w:ind w:firstLineChars="175" w:firstLine="490"/>
      <w:jc w:val="left"/>
    </w:pPr>
    <w:rPr>
      <w:sz w:val="20"/>
    </w:rPr>
  </w:style>
  <w:style w:type="paragraph" w:customStyle="1" w:styleId="TableParagraph">
    <w:name w:val="Table Paragraph"/>
    <w:basedOn w:val="a"/>
    <w:uiPriority w:val="1"/>
    <w:qFormat/>
    <w:rPr>
      <w:rFonts w:ascii="仿宋" w:eastAsia="仿宋" w:hAnsi="仿宋" w:cs="仿宋"/>
    </w:rPr>
  </w:style>
  <w:style w:type="paragraph" w:styleId="ad">
    <w:name w:val="header"/>
    <w:basedOn w:val="a"/>
    <w:link w:val="ae"/>
    <w:rsid w:val="00CC49DA"/>
    <w:pPr>
      <w:pBdr>
        <w:bottom w:val="single" w:sz="6" w:space="1" w:color="auto"/>
      </w:pBdr>
      <w:tabs>
        <w:tab w:val="center" w:pos="4153"/>
        <w:tab w:val="right" w:pos="8306"/>
      </w:tabs>
      <w:snapToGrid w:val="0"/>
      <w:jc w:val="center"/>
    </w:pPr>
    <w:rPr>
      <w:sz w:val="18"/>
      <w:szCs w:val="18"/>
    </w:rPr>
  </w:style>
  <w:style w:type="character" w:customStyle="1" w:styleId="ae">
    <w:name w:val="页眉 字符"/>
    <w:basedOn w:val="a0"/>
    <w:link w:val="ad"/>
    <w:rsid w:val="00CC49DA"/>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251</Words>
  <Characters>1432</Characters>
  <Application>Microsoft Office Word</Application>
  <DocSecurity>0</DocSecurity>
  <Lines>11</Lines>
  <Paragraphs>3</Paragraphs>
  <ScaleCrop>false</ScaleCrop>
  <Company>P R C</Company>
  <LinksUpToDate>false</LinksUpToDate>
  <CharactersWithSpaces>1680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梦幻</dc:creator>
  <cp:lastModifiedBy>Windows User</cp:lastModifiedBy>
  <cp:revision>6</cp:revision>
  <cp:lastPrinted>2025-10-15T07:06:00Z</cp:lastPrinted>
  <dcterms:created xsi:type="dcterms:W3CDTF">2024-10-31T02:06:00Z</dcterms:created>
  <dcterms:modified xsi:type="dcterms:W3CDTF">2025-11-07T06:42:00Z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3DB7FB92D4DA4796AD344A70DB0B4FB8_13</vt:lpwstr>
  </property>
  <property fmtid="{D5CDD505-2E9C-101B-9397-08002B2CF9AE}" pid="4" name="KSOTemplateDocerSaveRecord">
    <vt:lpwstr>eyJoZGlkIjoiMDRkMTVmYzdhZDUwYzVmNzg4MTkzYTcwNzkwNWZmNGYiLCJ1c2VySWQiOiIxNDEzNzk4Njg1In0=</vt:lpwstr>
  </property>
</Properties>
</file>