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rPr>
        <w:t xml:space="preserve">   工学院202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17A263FA">
      <w:pPr>
        <w:jc w:val="center"/>
        <w:rPr>
          <w:rFonts w:ascii="宋体" w:hAnsi="宋体" w:eastAsia="宋体" w:cs="宋体"/>
          <w:spacing w:val="-3"/>
          <w:kern w:val="2"/>
          <w:sz w:val="24"/>
          <w:szCs w:val="24"/>
          <w:lang w:val="en-US" w:eastAsia="zh-CN" w:bidi="ar-SA"/>
        </w:rPr>
      </w:pPr>
    </w:p>
    <w:p w14:paraId="7F9F66C8">
      <w:pPr>
        <w:spacing w:line="500" w:lineRule="exact"/>
        <w:ind w:firstLine="468" w:firstLineChars="200"/>
        <w:jc w:val="left"/>
        <w:rPr>
          <w:rFonts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根据教育部、四川省教育考试院、四川师范大学2026年硕士研究生招生复试工作相关文件精神，结合我院实际情况，今年硕士研究生复试安排具体如下：</w:t>
      </w:r>
    </w:p>
    <w:p w14:paraId="171EFDF7">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一、考生复试准备</w:t>
      </w:r>
    </w:p>
    <w:p w14:paraId="0102C4F2">
      <w:pPr>
        <w:pStyle w:val="2"/>
        <w:spacing w:before="117" w:line="360" w:lineRule="auto"/>
        <w:ind w:firstLine="468" w:firstLineChars="200"/>
        <w:rPr>
          <w:lang w:eastAsia="zh-CN"/>
        </w:rPr>
      </w:pPr>
      <w:r>
        <w:rPr>
          <w:spacing w:val="-3"/>
          <w:lang w:eastAsia="zh-CN"/>
        </w:rPr>
        <w:t>（一）报到时间地点</w:t>
      </w:r>
    </w:p>
    <w:p w14:paraId="6580F297">
      <w:pPr>
        <w:pStyle w:val="2"/>
        <w:spacing w:before="114" w:line="360" w:lineRule="auto"/>
        <w:ind w:left="5" w:firstLine="479"/>
        <w:rPr>
          <w:lang w:eastAsia="zh-CN"/>
        </w:rPr>
      </w:pPr>
      <w:r>
        <w:rPr>
          <w:spacing w:val="-3"/>
          <w:lang w:eastAsia="zh-CN"/>
        </w:rPr>
        <w:t>202</w:t>
      </w:r>
      <w:r>
        <w:rPr>
          <w:rFonts w:hint="eastAsia"/>
          <w:spacing w:val="-3"/>
          <w:lang w:val="en-US" w:eastAsia="zh-CN"/>
        </w:rPr>
        <w:t>6</w:t>
      </w:r>
      <w:r>
        <w:rPr>
          <w:spacing w:val="-3"/>
          <w:lang w:eastAsia="zh-CN"/>
        </w:rPr>
        <w:t>年</w:t>
      </w:r>
      <w:r>
        <w:rPr>
          <w:spacing w:val="-52"/>
          <w:lang w:eastAsia="zh-CN"/>
        </w:rPr>
        <w:t xml:space="preserve"> </w:t>
      </w:r>
      <w:r>
        <w:rPr>
          <w:rFonts w:hint="eastAsia"/>
          <w:spacing w:val="-3"/>
          <w:lang w:eastAsia="zh-CN"/>
        </w:rPr>
        <w:t>3</w:t>
      </w:r>
      <w:r>
        <w:rPr>
          <w:spacing w:val="-45"/>
          <w:lang w:eastAsia="zh-CN"/>
        </w:rPr>
        <w:t xml:space="preserve"> </w:t>
      </w:r>
      <w:r>
        <w:rPr>
          <w:spacing w:val="-3"/>
          <w:lang w:eastAsia="zh-CN"/>
        </w:rPr>
        <w:t>月</w:t>
      </w:r>
      <w:r>
        <w:rPr>
          <w:rFonts w:hint="eastAsia"/>
          <w:spacing w:val="-33"/>
          <w:lang w:val="en-US" w:eastAsia="zh-CN"/>
        </w:rPr>
        <w:t>30</w:t>
      </w:r>
      <w:r>
        <w:rPr>
          <w:spacing w:val="-3"/>
          <w:lang w:eastAsia="zh-CN"/>
        </w:rPr>
        <w:t>日，取得我院复试资格的考生携带</w:t>
      </w:r>
      <w:r>
        <w:rPr>
          <w:spacing w:val="-4"/>
          <w:lang w:eastAsia="zh-CN"/>
        </w:rPr>
        <w:t>资格审查材料和填好信息的“考生复试须知</w:t>
      </w:r>
      <w:r>
        <w:rPr>
          <w:spacing w:val="-82"/>
          <w:lang w:eastAsia="zh-CN"/>
        </w:rPr>
        <w:t xml:space="preserve"> </w:t>
      </w:r>
      <w:r>
        <w:rPr>
          <w:spacing w:val="-4"/>
          <w:lang w:eastAsia="zh-CN"/>
        </w:rPr>
        <w:t>”，凭有效的第二代居民身份证进校，到四川师范大学成龙校区办公楼工学院</w:t>
      </w:r>
      <w:r>
        <w:rPr>
          <w:spacing w:val="-48"/>
          <w:lang w:eastAsia="zh-CN"/>
        </w:rPr>
        <w:t xml:space="preserve"> </w:t>
      </w:r>
      <w:r>
        <w:rPr>
          <w:spacing w:val="-4"/>
          <w:lang w:eastAsia="zh-CN"/>
        </w:rPr>
        <w:t>229</w:t>
      </w:r>
      <w:r>
        <w:rPr>
          <w:spacing w:val="-46"/>
          <w:lang w:eastAsia="zh-CN"/>
        </w:rPr>
        <w:t xml:space="preserve"> </w:t>
      </w:r>
      <w:r>
        <w:rPr>
          <w:spacing w:val="-4"/>
          <w:lang w:eastAsia="zh-CN"/>
        </w:rPr>
        <w:t>办公室</w:t>
      </w:r>
      <w:r>
        <w:rPr>
          <w:spacing w:val="-3"/>
          <w:lang w:eastAsia="zh-CN"/>
        </w:rPr>
        <w:t>报到</w:t>
      </w:r>
      <w:r>
        <w:rPr>
          <w:rFonts w:hint="eastAsia"/>
          <w:spacing w:val="-3"/>
          <w:lang w:eastAsia="zh-CN"/>
        </w:rPr>
        <w:t>，具体</w:t>
      </w:r>
      <w:r>
        <w:rPr>
          <w:spacing w:val="-2"/>
          <w:lang w:eastAsia="zh-CN"/>
        </w:rPr>
        <w:t>报到时间：14:00—</w:t>
      </w:r>
      <w:r>
        <w:rPr>
          <w:spacing w:val="-93"/>
          <w:lang w:eastAsia="zh-CN"/>
        </w:rPr>
        <w:t xml:space="preserve"> </w:t>
      </w:r>
      <w:r>
        <w:rPr>
          <w:spacing w:val="-2"/>
          <w:lang w:eastAsia="zh-CN"/>
        </w:rPr>
        <w:t>17:00</w:t>
      </w:r>
      <w:r>
        <w:rPr>
          <w:rFonts w:hint="eastAsia"/>
          <w:spacing w:val="-2"/>
          <w:lang w:eastAsia="zh-CN"/>
        </w:rPr>
        <w:t>。</w:t>
      </w:r>
    </w:p>
    <w:p w14:paraId="1A30DE3A">
      <w:pPr>
        <w:pStyle w:val="2"/>
        <w:spacing w:before="114" w:line="360" w:lineRule="auto"/>
        <w:ind w:firstLine="468" w:firstLineChars="200"/>
        <w:rPr>
          <w:spacing w:val="-3"/>
          <w:lang w:eastAsia="zh-CN"/>
        </w:rPr>
      </w:pPr>
      <w:r>
        <w:rPr>
          <w:spacing w:val="-3"/>
          <w:lang w:eastAsia="zh-CN"/>
        </w:rPr>
        <w:t>（二）资格审查材料及流程</w:t>
      </w:r>
    </w:p>
    <w:p w14:paraId="0345F439">
      <w:pPr>
        <w:pStyle w:val="2"/>
        <w:spacing w:before="114" w:line="360" w:lineRule="auto"/>
        <w:ind w:left="5" w:firstLine="479"/>
        <w:rPr>
          <w:spacing w:val="-3"/>
          <w:lang w:eastAsia="zh-CN"/>
        </w:rPr>
      </w:pPr>
      <w:r>
        <w:rPr>
          <w:spacing w:val="-3"/>
          <w:lang w:eastAsia="zh-CN"/>
        </w:rPr>
        <w:t>1.</w:t>
      </w:r>
      <w:r>
        <w:rPr>
          <w:rFonts w:hint="eastAsia"/>
          <w:spacing w:val="-3"/>
          <w:lang w:eastAsia="zh-CN"/>
        </w:rPr>
        <w:t>提交</w:t>
      </w:r>
      <w:r>
        <w:rPr>
          <w:spacing w:val="-3"/>
          <w:lang w:eastAsia="zh-CN"/>
        </w:rPr>
        <w:t>材料清单</w:t>
      </w:r>
    </w:p>
    <w:p w14:paraId="0CE0C83D">
      <w:pPr>
        <w:pStyle w:val="2"/>
        <w:spacing w:before="114" w:line="360" w:lineRule="auto"/>
        <w:ind w:firstLine="234" w:firstLineChars="100"/>
        <w:rPr>
          <w:spacing w:val="-3"/>
          <w:lang w:eastAsia="zh-CN"/>
        </w:rPr>
      </w:pPr>
      <w:r>
        <w:rPr>
          <w:rFonts w:hint="eastAsia"/>
          <w:spacing w:val="-3"/>
          <w:lang w:eastAsia="zh-CN"/>
        </w:rPr>
        <w:t>（1）本人有效居民身份证原件和1份复印件；</w:t>
      </w:r>
    </w:p>
    <w:p w14:paraId="7FC4A464">
      <w:pPr>
        <w:pStyle w:val="2"/>
        <w:spacing w:before="114" w:line="360" w:lineRule="auto"/>
        <w:ind w:firstLine="234" w:firstLineChars="100"/>
        <w:rPr>
          <w:spacing w:val="-3"/>
          <w:lang w:eastAsia="zh-CN"/>
        </w:rPr>
      </w:pPr>
      <w:r>
        <w:rPr>
          <w:rFonts w:hint="eastAsia"/>
          <w:spacing w:val="-3"/>
          <w:lang w:eastAsia="zh-CN"/>
        </w:rPr>
        <w:t>（2）毕业证书和成绩单复印件各1份；</w:t>
      </w:r>
    </w:p>
    <w:p w14:paraId="2F48FD9D">
      <w:pPr>
        <w:pStyle w:val="2"/>
        <w:spacing w:before="114" w:line="360" w:lineRule="auto"/>
        <w:ind w:left="5" w:firstLine="479"/>
        <w:rPr>
          <w:spacing w:val="-3"/>
          <w:lang w:eastAsia="zh-CN"/>
        </w:rPr>
      </w:pPr>
      <w:r>
        <w:rPr>
          <w:rFonts w:hint="eastAsia"/>
          <w:spacing w:val="-3"/>
          <w:lang w:eastAsia="zh-CN"/>
        </w:rPr>
        <w:t>①应届本科毕业生须提供就读学校完整注册后的学生证或《教育部学籍在线验证报告》和就读学校教务部门加盖鲜章的本科成绩单。</w:t>
      </w:r>
    </w:p>
    <w:p w14:paraId="37B6F81C">
      <w:pPr>
        <w:pStyle w:val="2"/>
        <w:spacing w:before="114" w:line="360" w:lineRule="auto"/>
        <w:ind w:left="5" w:firstLine="479"/>
        <w:rPr>
          <w:spacing w:val="-3"/>
          <w:lang w:eastAsia="zh-CN"/>
        </w:rPr>
      </w:pPr>
      <w:r>
        <w:rPr>
          <w:rFonts w:hint="eastAsia"/>
          <w:spacing w:val="-3"/>
          <w:lang w:eastAsia="zh-CN"/>
        </w:rPr>
        <w:fldChar w:fldCharType="begin"/>
      </w:r>
      <w:r>
        <w:rPr>
          <w:rFonts w:hint="eastAsia"/>
          <w:spacing w:val="-3"/>
          <w:lang w:eastAsia="zh-CN"/>
        </w:rPr>
        <w:instrText xml:space="preserve"> = 2 \* GB3 \* MERGEFORMAT </w:instrText>
      </w:r>
      <w:r>
        <w:rPr>
          <w:rFonts w:hint="eastAsia"/>
          <w:spacing w:val="-3"/>
          <w:lang w:eastAsia="zh-CN"/>
        </w:rPr>
        <w:fldChar w:fldCharType="separate"/>
      </w:r>
      <w:r>
        <w:rPr>
          <w:rFonts w:hint="eastAsia"/>
          <w:spacing w:val="-3"/>
          <w:lang w:eastAsia="zh-CN"/>
        </w:rPr>
        <w:t>②</w:t>
      </w:r>
      <w:r>
        <w:rPr>
          <w:rFonts w:hint="eastAsia"/>
          <w:spacing w:val="-3"/>
          <w:lang w:eastAsia="zh-CN"/>
        </w:rPr>
        <w:fldChar w:fldCharType="end"/>
      </w:r>
      <w:r>
        <w:rPr>
          <w:rFonts w:hint="eastAsia"/>
          <w:spacing w:val="-3"/>
          <w:lang w:eastAsia="zh-CN"/>
        </w:rPr>
        <w:t>往届生（含本科毕业生、本科结业生、高职高专毕业生）的毕业证书或《教育部学历证书电子注册备案表》和档案户籍所在部门或本科就读学校教务部门加盖鲜章的本（专）科成绩单。</w:t>
      </w:r>
    </w:p>
    <w:p w14:paraId="217CC7F5">
      <w:pPr>
        <w:pStyle w:val="2"/>
        <w:spacing w:before="114" w:line="360" w:lineRule="auto"/>
        <w:ind w:left="5" w:firstLine="479"/>
        <w:rPr>
          <w:spacing w:val="-3"/>
          <w:lang w:eastAsia="zh-CN"/>
        </w:rPr>
      </w:pPr>
      <w:r>
        <w:rPr>
          <w:spacing w:val="-3"/>
          <w:lang w:eastAsia="zh-CN"/>
        </w:rPr>
        <w:t>③</w:t>
      </w:r>
      <w:r>
        <w:rPr>
          <w:rFonts w:hint="eastAsia"/>
          <w:spacing w:val="-3"/>
          <w:lang w:eastAsia="zh-CN"/>
        </w:rPr>
        <w:t>报考我校的成人高等学历教育届时可毕业本科生、自学考试届时可毕业本科生和网络教育届时可毕业本科生须提供本科毕业证书或《教育部学历证书电子注册备案表》和档案所在部门或就读学校教务部门盖鲜章的本科成绩单。</w:t>
      </w:r>
    </w:p>
    <w:p w14:paraId="51C59BA4">
      <w:pPr>
        <w:pStyle w:val="2"/>
        <w:spacing w:before="114" w:line="360" w:lineRule="auto"/>
        <w:ind w:left="5" w:firstLine="479"/>
        <w:rPr>
          <w:spacing w:val="-3"/>
          <w:lang w:eastAsia="zh-CN"/>
        </w:rPr>
      </w:pPr>
      <w:r>
        <w:rPr>
          <w:rFonts w:hint="eastAsia"/>
          <w:spacing w:val="-3"/>
          <w:lang w:eastAsia="zh-CN"/>
        </w:rPr>
        <w:t>④未通过教育部学历（学籍）审核的考生，须提供《中国高等教育学历认证报告》。</w:t>
      </w:r>
    </w:p>
    <w:p w14:paraId="1DC0A82A">
      <w:pPr>
        <w:pStyle w:val="2"/>
        <w:spacing w:before="114" w:line="360" w:lineRule="auto"/>
        <w:ind w:firstLine="234" w:firstLineChars="100"/>
        <w:rPr>
          <w:spacing w:val="-3"/>
          <w:lang w:eastAsia="zh-CN"/>
        </w:rPr>
      </w:pPr>
      <w:r>
        <w:rPr>
          <w:rFonts w:hint="eastAsia"/>
          <w:spacing w:val="-3"/>
          <w:lang w:eastAsia="zh-CN"/>
        </w:rPr>
        <w:t>（3）“大学生士兵计划”考生本人的《入伍批准书》《退出现役证》复印件各1份（</w:t>
      </w:r>
      <w:r>
        <w:rPr>
          <w:rFonts w:hint="eastAsia"/>
          <w:spacing w:val="-3"/>
          <w:lang w:val="en-US" w:eastAsia="zh-CN"/>
        </w:rPr>
        <w:t>原件核验后由二级招生单位交研究生招生办公室</w:t>
      </w:r>
      <w:r>
        <w:rPr>
          <w:rFonts w:hint="eastAsia"/>
          <w:spacing w:val="-3"/>
          <w:lang w:eastAsia="zh-CN"/>
        </w:rPr>
        <w:t>）；</w:t>
      </w:r>
    </w:p>
    <w:p w14:paraId="11EF63E1">
      <w:pPr>
        <w:pStyle w:val="2"/>
        <w:spacing w:before="114" w:line="360" w:lineRule="auto"/>
        <w:ind w:firstLine="234" w:firstLineChars="100"/>
        <w:rPr>
          <w:spacing w:val="-3"/>
          <w:lang w:eastAsia="zh-CN"/>
        </w:rPr>
      </w:pPr>
      <w:r>
        <w:rPr>
          <w:rFonts w:hint="eastAsia"/>
          <w:spacing w:val="-3"/>
          <w:lang w:eastAsia="zh-CN"/>
        </w:rPr>
        <w:t>（4）“双少生”考生本人的户口本、身份证复印件各1份（</w:t>
      </w:r>
      <w:r>
        <w:rPr>
          <w:rFonts w:hint="eastAsia"/>
          <w:spacing w:val="-3"/>
          <w:lang w:val="en-US" w:eastAsia="zh-CN"/>
        </w:rPr>
        <w:t>原件核验后由二级招生单位交研究生招生办公室</w:t>
      </w:r>
      <w:bookmarkStart w:id="1" w:name="_GoBack"/>
      <w:bookmarkEnd w:id="1"/>
      <w:r>
        <w:rPr>
          <w:rFonts w:hint="eastAsia"/>
          <w:spacing w:val="-3"/>
          <w:lang w:eastAsia="zh-CN"/>
        </w:rPr>
        <w:t>）；</w:t>
      </w:r>
    </w:p>
    <w:p w14:paraId="54367A9F">
      <w:pPr>
        <w:pStyle w:val="2"/>
        <w:spacing w:before="114" w:line="360" w:lineRule="auto"/>
        <w:ind w:firstLine="234" w:firstLineChars="100"/>
        <w:rPr>
          <w:spacing w:val="-3"/>
          <w:lang w:eastAsia="zh-CN"/>
        </w:rPr>
      </w:pPr>
      <w:r>
        <w:rPr>
          <w:rFonts w:hint="eastAsia"/>
          <w:spacing w:val="-3"/>
          <w:lang w:eastAsia="zh-CN"/>
        </w:rPr>
        <w:t>（5）学术论文加分材料原件及复印件等。</w:t>
      </w:r>
    </w:p>
    <w:p w14:paraId="32389F0B">
      <w:pPr>
        <w:pStyle w:val="2"/>
        <w:spacing w:before="114" w:line="360" w:lineRule="auto"/>
        <w:ind w:left="5" w:firstLine="479"/>
        <w:rPr>
          <w:spacing w:val="-3"/>
          <w:lang w:eastAsia="zh-CN"/>
        </w:rPr>
      </w:pPr>
      <w:r>
        <w:rPr>
          <w:rFonts w:hint="eastAsia"/>
          <w:spacing w:val="-3"/>
          <w:lang w:eastAsia="zh-CN"/>
        </w:rPr>
        <w:t>2.核对《考生情况表》并签字。</w:t>
      </w:r>
    </w:p>
    <w:p w14:paraId="1FA02DB5">
      <w:pPr>
        <w:pStyle w:val="2"/>
        <w:spacing w:before="114" w:line="360" w:lineRule="auto"/>
        <w:ind w:left="5" w:firstLine="479"/>
        <w:rPr>
          <w:spacing w:val="-3"/>
          <w:lang w:eastAsia="zh-CN"/>
        </w:rPr>
      </w:pPr>
      <w:r>
        <w:rPr>
          <w:rFonts w:hint="eastAsia"/>
          <w:spacing w:val="-3"/>
          <w:lang w:eastAsia="zh-CN"/>
        </w:rPr>
        <w:t>3.签订《考生诚信复试承诺书》并提交。</w:t>
      </w:r>
    </w:p>
    <w:p w14:paraId="696EDD65">
      <w:pPr>
        <w:pStyle w:val="2"/>
        <w:spacing w:before="114" w:line="360" w:lineRule="auto"/>
        <w:ind w:left="5" w:firstLine="479"/>
        <w:rPr>
          <w:spacing w:val="-3"/>
          <w:lang w:eastAsia="zh-CN"/>
        </w:rPr>
      </w:pPr>
      <w:r>
        <w:rPr>
          <w:rFonts w:hint="eastAsia"/>
          <w:spacing w:val="-3"/>
          <w:lang w:eastAsia="zh-CN"/>
        </w:rPr>
        <w:t>4.提交</w:t>
      </w:r>
      <w:r>
        <w:rPr>
          <w:spacing w:val="-3"/>
          <w:lang w:eastAsia="zh-CN"/>
        </w:rPr>
        <w:t>复试缴费单或凭证</w:t>
      </w:r>
      <w:r>
        <w:rPr>
          <w:rFonts w:hint="eastAsia"/>
          <w:spacing w:val="-3"/>
          <w:lang w:eastAsia="zh-CN"/>
        </w:rPr>
        <w:t>。</w:t>
      </w:r>
    </w:p>
    <w:p w14:paraId="1372ED4D">
      <w:pPr>
        <w:keepNext w:val="0"/>
        <w:keepLines w:val="0"/>
        <w:pageBreakBefore w:val="0"/>
        <w:widowControl w:val="0"/>
        <w:kinsoku/>
        <w:wordWrap/>
        <w:overflowPunct/>
        <w:topLinePunct w:val="0"/>
        <w:autoSpaceDE/>
        <w:autoSpaceDN/>
        <w:bidi w:val="0"/>
        <w:adjustRightInd/>
        <w:snapToGrid/>
        <w:spacing w:line="560" w:lineRule="exact"/>
        <w:ind w:firstLine="468" w:firstLineChars="200"/>
        <w:textAlignment w:val="auto"/>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根据四川省相关文件，复试考生按120元/生的标准缴纳复试费，加试另按80元/生的标准缴纳加试费。3月27日16:00起关注四川师范大学计划财务处微信公众号，点击“服务大厅”，选择“网上缴费”，在“用户名”输入考生编号，初始“密码”输入“SS@出生年月日</w:t>
      </w:r>
      <w:r>
        <w:rPr>
          <w:rFonts w:hint="default" w:ascii="宋体" w:hAnsi="宋体" w:eastAsia="宋体" w:cs="宋体"/>
          <w:spacing w:val="-3"/>
          <w:kern w:val="2"/>
          <w:sz w:val="24"/>
          <w:szCs w:val="24"/>
          <w:lang w:val="en-US" w:eastAsia="zh-CN" w:bidi="ar-SA"/>
        </w:rPr>
        <w:t>”</w:t>
      </w:r>
      <w:r>
        <w:rPr>
          <w:rFonts w:hint="eastAsia" w:ascii="宋体" w:hAnsi="宋体" w:eastAsia="宋体" w:cs="宋体"/>
          <w:spacing w:val="-3"/>
          <w:kern w:val="2"/>
          <w:sz w:val="24"/>
          <w:szCs w:val="24"/>
          <w:lang w:val="en-US" w:eastAsia="zh-CN" w:bidi="ar-SA"/>
        </w:rPr>
        <w:t>（例SS@</w:t>
      </w:r>
      <w:r>
        <w:rPr>
          <w:rFonts w:hint="default" w:ascii="宋体" w:hAnsi="宋体" w:eastAsia="宋体" w:cs="宋体"/>
          <w:spacing w:val="-3"/>
          <w:kern w:val="2"/>
          <w:sz w:val="24"/>
          <w:szCs w:val="24"/>
          <w:lang w:val="en-US" w:eastAsia="zh-CN" w:bidi="ar-SA"/>
        </w:rPr>
        <w:t>20040304</w:t>
      </w:r>
      <w:r>
        <w:rPr>
          <w:rFonts w:hint="eastAsia" w:ascii="宋体" w:hAnsi="宋体" w:eastAsia="宋体" w:cs="宋体"/>
          <w:spacing w:val="-3"/>
          <w:kern w:val="2"/>
          <w:sz w:val="24"/>
          <w:szCs w:val="24"/>
          <w:lang w:val="en-US" w:eastAsia="zh-CN" w:bidi="ar-SA"/>
        </w:rPr>
        <w:t>），按要求修改密码后缴费。</w:t>
      </w:r>
    </w:p>
    <w:p w14:paraId="05363A79">
      <w:pPr>
        <w:pStyle w:val="2"/>
        <w:spacing w:before="114" w:line="360" w:lineRule="auto"/>
        <w:ind w:left="5" w:firstLine="479"/>
        <w:rPr>
          <w:spacing w:val="-3"/>
          <w:lang w:eastAsia="zh-CN"/>
        </w:rPr>
      </w:pPr>
      <w:r>
        <w:rPr>
          <w:rFonts w:hint="eastAsia"/>
          <w:spacing w:val="-3"/>
          <w:lang w:eastAsia="zh-CN"/>
        </w:rPr>
        <w:t>注：</w:t>
      </w:r>
      <w:r>
        <w:rPr>
          <w:spacing w:val="-3"/>
          <w:lang w:eastAsia="zh-CN"/>
        </w:rPr>
        <w:t>学院按照两识别（人脸识别、人证识别）等措施对考生资格进行严格审查，不符合规定者，不予复试。</w:t>
      </w:r>
      <w:r>
        <w:rPr>
          <w:rFonts w:hint="eastAsia"/>
          <w:spacing w:val="-3"/>
          <w:lang w:eastAsia="zh-CN"/>
        </w:rPr>
        <w:t>不论是否录取，所交材料除原始证件外，一律不退还。</w:t>
      </w:r>
    </w:p>
    <w:p w14:paraId="1D1D5CA4">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二、复试具体安排</w:t>
      </w:r>
    </w:p>
    <w:p w14:paraId="30A19909">
      <w:pPr>
        <w:pStyle w:val="2"/>
        <w:spacing w:before="114" w:line="360" w:lineRule="auto"/>
        <w:ind w:firstLine="468" w:firstLineChars="200"/>
        <w:rPr>
          <w:spacing w:val="-3"/>
          <w:lang w:eastAsia="zh-CN"/>
        </w:rPr>
      </w:pPr>
      <w:r>
        <w:rPr>
          <w:rFonts w:hint="eastAsia"/>
          <w:spacing w:val="-3"/>
          <w:lang w:eastAsia="zh-CN"/>
        </w:rPr>
        <w:t>（一）</w:t>
      </w:r>
      <w:r>
        <w:rPr>
          <w:spacing w:val="-3"/>
          <w:lang w:eastAsia="zh-CN"/>
        </w:rPr>
        <w:t>复试</w:t>
      </w:r>
      <w:r>
        <w:rPr>
          <w:rFonts w:hint="eastAsia"/>
          <w:spacing w:val="-3"/>
          <w:lang w:eastAsia="zh-CN"/>
        </w:rPr>
        <w:t>要求</w:t>
      </w:r>
    </w:p>
    <w:p w14:paraId="6F5B4AC0">
      <w:pPr>
        <w:keepNext w:val="0"/>
        <w:keepLines w:val="0"/>
        <w:pageBreakBefore w:val="0"/>
        <w:widowControl w:val="0"/>
        <w:kinsoku/>
        <w:wordWrap/>
        <w:overflowPunct/>
        <w:topLinePunct w:val="0"/>
        <w:autoSpaceDE/>
        <w:autoSpaceDN/>
        <w:bidi w:val="0"/>
        <w:adjustRightInd/>
        <w:snapToGrid/>
        <w:spacing w:line="560" w:lineRule="exact"/>
        <w:ind w:firstLine="468" w:firstLineChars="200"/>
        <w:textAlignment w:val="auto"/>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复试全程录音录像。考生在复试过程中不得暴露自己的身份信息；复试时需着装得体，禁止佩戴耳机、禁止使用具有通信、录音、录像等功能的电子通讯设备参加复试；考生任何时候不得以任何形式外泄复试内容，如发现私自将复试相关内容在网络、个人、群体之间传播，取消其录取资格并将追究法律责任。</w:t>
      </w:r>
    </w:p>
    <w:p w14:paraId="3E318967">
      <w:pPr>
        <w:pStyle w:val="2"/>
        <w:spacing w:before="114" w:line="360" w:lineRule="auto"/>
        <w:ind w:firstLine="468" w:firstLineChars="200"/>
        <w:rPr>
          <w:spacing w:val="-3"/>
          <w:lang w:eastAsia="zh-CN"/>
        </w:rPr>
      </w:pPr>
      <w:r>
        <w:rPr>
          <w:rFonts w:hint="eastAsia"/>
          <w:spacing w:val="-3"/>
          <w:lang w:eastAsia="zh-CN"/>
        </w:rPr>
        <w:t>（二）</w:t>
      </w:r>
      <w:r>
        <w:rPr>
          <w:spacing w:val="-3"/>
          <w:lang w:eastAsia="zh-CN"/>
        </w:rPr>
        <w:t>复试</w:t>
      </w:r>
      <w:r>
        <w:rPr>
          <w:rFonts w:hint="eastAsia"/>
          <w:spacing w:val="-3"/>
          <w:lang w:eastAsia="zh-CN"/>
        </w:rPr>
        <w:t>安排</w:t>
      </w:r>
    </w:p>
    <w:p w14:paraId="197C3F8C">
      <w:pPr>
        <w:pStyle w:val="2"/>
        <w:spacing w:before="114" w:line="360" w:lineRule="auto"/>
        <w:ind w:left="5" w:firstLine="479"/>
        <w:rPr>
          <w:spacing w:val="-3"/>
          <w:lang w:eastAsia="zh-CN"/>
        </w:rPr>
      </w:pPr>
      <w:r>
        <w:rPr>
          <w:rFonts w:hint="eastAsia"/>
          <w:spacing w:val="-3"/>
          <w:lang w:eastAsia="zh-CN"/>
        </w:rPr>
        <w:t>专业复试笔试时长2小时，外语口语复试每人8分钟，综合面试1</w:t>
      </w:r>
      <w:r>
        <w:rPr>
          <w:rFonts w:hint="eastAsia"/>
          <w:spacing w:val="-3"/>
          <w:lang w:val="en-US" w:eastAsia="zh-CN"/>
        </w:rPr>
        <w:t>2</w:t>
      </w:r>
      <w:r>
        <w:rPr>
          <w:rFonts w:hint="eastAsia"/>
          <w:spacing w:val="-3"/>
          <w:lang w:eastAsia="zh-CN"/>
        </w:rPr>
        <w:t>分钟。</w:t>
      </w:r>
    </w:p>
    <w:p w14:paraId="10835CD4">
      <w:pPr>
        <w:pStyle w:val="2"/>
        <w:spacing w:before="1" w:line="218" w:lineRule="auto"/>
        <w:ind w:left="41" w:firstLine="465"/>
        <w:rPr>
          <w:spacing w:val="-2"/>
          <w:lang w:eastAsia="zh-CN"/>
        </w:rPr>
      </w:pPr>
    </w:p>
    <w:tbl>
      <w:tblPr>
        <w:tblStyle w:val="6"/>
        <w:tblW w:w="9711" w:type="dxa"/>
        <w:tblInd w:w="93" w:type="dxa"/>
        <w:tblLayout w:type="fixed"/>
        <w:tblCellMar>
          <w:top w:w="0" w:type="dxa"/>
          <w:left w:w="108" w:type="dxa"/>
          <w:bottom w:w="0" w:type="dxa"/>
          <w:right w:w="108" w:type="dxa"/>
        </w:tblCellMar>
      </w:tblPr>
      <w:tblGrid>
        <w:gridCol w:w="1065"/>
        <w:gridCol w:w="1431"/>
        <w:gridCol w:w="2460"/>
        <w:gridCol w:w="2880"/>
        <w:gridCol w:w="1875"/>
      </w:tblGrid>
      <w:tr w14:paraId="42C02176">
        <w:tblPrEx>
          <w:tblCellMar>
            <w:top w:w="0" w:type="dxa"/>
            <w:left w:w="108" w:type="dxa"/>
            <w:bottom w:w="0" w:type="dxa"/>
            <w:right w:w="108" w:type="dxa"/>
          </w:tblCellMar>
        </w:tblPrEx>
        <w:trPr>
          <w:trHeight w:val="285" w:hRule="atLeast"/>
        </w:trPr>
        <w:tc>
          <w:tcPr>
            <w:tcW w:w="1065" w:type="dxa"/>
            <w:tcBorders>
              <w:top w:val="single" w:color="000000" w:sz="4" w:space="0"/>
              <w:left w:val="single" w:color="000000" w:sz="4" w:space="0"/>
              <w:bottom w:val="single" w:color="auto" w:sz="4" w:space="0"/>
              <w:right w:val="single" w:color="000000" w:sz="4" w:space="0"/>
            </w:tcBorders>
            <w:noWrap/>
            <w:vAlign w:val="center"/>
          </w:tcPr>
          <w:p w14:paraId="290FA2BD">
            <w:pPr>
              <w:widowControl/>
              <w:jc w:val="center"/>
              <w:textAlignment w:val="center"/>
              <w:rPr>
                <w:rFonts w:ascii="宋体" w:hAnsi="宋体" w:eastAsia="宋体" w:cs="宋体"/>
                <w:b/>
                <w:bCs/>
                <w:color w:val="000000"/>
                <w:sz w:val="20"/>
                <w:szCs w:val="20"/>
              </w:rPr>
            </w:pPr>
            <w:r>
              <w:rPr>
                <w:rFonts w:hint="eastAsia" w:ascii="宋体" w:hAnsi="宋体" w:eastAsia="宋体" w:cs="宋体"/>
                <w:b/>
                <w:bCs/>
                <w:snapToGrid w:val="0"/>
                <w:color w:val="000000"/>
                <w:kern w:val="0"/>
                <w:sz w:val="20"/>
                <w:szCs w:val="20"/>
                <w:lang w:bidi="ar"/>
              </w:rPr>
              <w:t>学科代码</w:t>
            </w: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6D170CCB">
            <w:pPr>
              <w:widowControl/>
              <w:jc w:val="center"/>
              <w:textAlignment w:val="center"/>
              <w:rPr>
                <w:rFonts w:ascii="宋体" w:hAnsi="宋体" w:eastAsia="宋体" w:cs="宋体"/>
                <w:b/>
                <w:bCs/>
                <w:color w:val="000000"/>
                <w:sz w:val="20"/>
                <w:szCs w:val="20"/>
              </w:rPr>
            </w:pPr>
            <w:r>
              <w:rPr>
                <w:rFonts w:hint="eastAsia" w:ascii="宋体" w:hAnsi="宋体" w:eastAsia="宋体" w:cs="宋体"/>
                <w:b/>
                <w:bCs/>
                <w:snapToGrid w:val="0"/>
                <w:color w:val="000000"/>
                <w:kern w:val="0"/>
                <w:sz w:val="20"/>
                <w:szCs w:val="20"/>
                <w:lang w:bidi="ar"/>
              </w:rPr>
              <w:t>专业名称</w:t>
            </w:r>
          </w:p>
        </w:tc>
        <w:tc>
          <w:tcPr>
            <w:tcW w:w="2460" w:type="dxa"/>
            <w:tcBorders>
              <w:top w:val="single" w:color="000000" w:sz="4" w:space="0"/>
              <w:left w:val="single" w:color="000000" w:sz="4" w:space="0"/>
              <w:bottom w:val="single" w:color="000000" w:sz="4" w:space="0"/>
              <w:right w:val="single" w:color="000000" w:sz="4" w:space="0"/>
            </w:tcBorders>
            <w:vAlign w:val="center"/>
          </w:tcPr>
          <w:p w14:paraId="3EA373D1">
            <w:pPr>
              <w:widowControl/>
              <w:jc w:val="center"/>
              <w:textAlignment w:val="center"/>
              <w:rPr>
                <w:rFonts w:ascii="宋体" w:hAnsi="宋体" w:eastAsia="宋体" w:cs="宋体"/>
                <w:b/>
                <w:bCs/>
                <w:color w:val="000000"/>
                <w:sz w:val="20"/>
                <w:szCs w:val="20"/>
              </w:rPr>
            </w:pPr>
            <w:r>
              <w:rPr>
                <w:rFonts w:hint="eastAsia" w:ascii="宋体" w:hAnsi="宋体" w:eastAsia="宋体" w:cs="宋体"/>
                <w:b/>
                <w:bCs/>
                <w:snapToGrid w:val="0"/>
                <w:color w:val="000000"/>
                <w:kern w:val="0"/>
                <w:sz w:val="20"/>
                <w:szCs w:val="20"/>
                <w:lang w:bidi="ar"/>
              </w:rPr>
              <w:t>复试时间</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15C3225B">
            <w:pPr>
              <w:widowControl/>
              <w:jc w:val="center"/>
              <w:textAlignment w:val="center"/>
              <w:rPr>
                <w:rFonts w:ascii="宋体" w:hAnsi="宋体" w:eastAsia="宋体" w:cs="宋体"/>
                <w:b/>
                <w:bCs/>
                <w:color w:val="000000"/>
                <w:sz w:val="20"/>
                <w:szCs w:val="20"/>
              </w:rPr>
            </w:pPr>
            <w:r>
              <w:rPr>
                <w:rFonts w:hint="eastAsia" w:ascii="宋体" w:hAnsi="宋体" w:eastAsia="宋体" w:cs="宋体"/>
                <w:b/>
                <w:bCs/>
                <w:snapToGrid w:val="0"/>
                <w:color w:val="000000"/>
                <w:kern w:val="0"/>
                <w:sz w:val="20"/>
                <w:szCs w:val="20"/>
                <w:lang w:bidi="ar"/>
              </w:rPr>
              <w:t>复试地点</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6A66A369">
            <w:pPr>
              <w:widowControl/>
              <w:jc w:val="center"/>
              <w:textAlignment w:val="center"/>
              <w:rPr>
                <w:rFonts w:ascii="宋体" w:hAnsi="宋体" w:eastAsia="宋体" w:cs="宋体"/>
                <w:b/>
                <w:bCs/>
                <w:color w:val="000000"/>
                <w:sz w:val="20"/>
                <w:szCs w:val="20"/>
              </w:rPr>
            </w:pPr>
            <w:r>
              <w:rPr>
                <w:rFonts w:hint="eastAsia" w:ascii="宋体" w:hAnsi="宋体" w:eastAsia="宋体" w:cs="宋体"/>
                <w:b/>
                <w:bCs/>
                <w:snapToGrid w:val="0"/>
                <w:color w:val="000000"/>
                <w:kern w:val="0"/>
                <w:sz w:val="20"/>
                <w:szCs w:val="20"/>
                <w:lang w:bidi="ar"/>
              </w:rPr>
              <w:t>考试事项</w:t>
            </w:r>
          </w:p>
        </w:tc>
      </w:tr>
      <w:tr w14:paraId="2F55C591">
        <w:tblPrEx>
          <w:tblCellMar>
            <w:top w:w="0" w:type="dxa"/>
            <w:left w:w="108" w:type="dxa"/>
            <w:bottom w:w="0" w:type="dxa"/>
            <w:right w:w="108" w:type="dxa"/>
          </w:tblCellMar>
        </w:tblPrEx>
        <w:trPr>
          <w:trHeight w:val="540" w:hRule="atLeast"/>
        </w:trPr>
        <w:tc>
          <w:tcPr>
            <w:tcW w:w="1065" w:type="dxa"/>
            <w:vMerge w:val="restart"/>
            <w:tcBorders>
              <w:top w:val="single" w:color="auto" w:sz="4" w:space="0"/>
              <w:left w:val="single" w:color="auto" w:sz="4" w:space="0"/>
              <w:right w:val="single" w:color="auto" w:sz="4" w:space="0"/>
            </w:tcBorders>
            <w:vAlign w:val="center"/>
          </w:tcPr>
          <w:p w14:paraId="0460EE92">
            <w:pPr>
              <w:widowControl/>
              <w:jc w:val="center"/>
              <w:textAlignment w:val="center"/>
              <w:rPr>
                <w:rFonts w:ascii="宋体" w:hAnsi="宋体" w:eastAsia="宋体" w:cs="宋体"/>
                <w:color w:val="000000"/>
                <w:sz w:val="20"/>
                <w:szCs w:val="20"/>
              </w:rPr>
            </w:pPr>
            <w:r>
              <w:rPr>
                <w:rFonts w:hint="eastAsia" w:ascii="宋体" w:hAnsi="宋体" w:eastAsia="宋体" w:cs="宋体"/>
                <w:snapToGrid w:val="0"/>
                <w:color w:val="000000"/>
                <w:kern w:val="0"/>
                <w:sz w:val="20"/>
                <w:szCs w:val="20"/>
                <w:lang w:bidi="ar"/>
              </w:rPr>
              <w:t>085406</w:t>
            </w:r>
          </w:p>
        </w:tc>
        <w:tc>
          <w:tcPr>
            <w:tcW w:w="1431" w:type="dxa"/>
            <w:vMerge w:val="restart"/>
            <w:tcBorders>
              <w:top w:val="single" w:color="000000" w:sz="4" w:space="0"/>
              <w:left w:val="single" w:color="auto" w:sz="4" w:space="0"/>
              <w:right w:val="nil"/>
            </w:tcBorders>
            <w:noWrap/>
            <w:vAlign w:val="center"/>
          </w:tcPr>
          <w:p w14:paraId="19350AA1">
            <w:pPr>
              <w:widowControl/>
              <w:jc w:val="center"/>
              <w:textAlignment w:val="center"/>
              <w:rPr>
                <w:rFonts w:ascii="宋体" w:hAnsi="宋体" w:eastAsia="宋体" w:cs="宋体"/>
                <w:color w:val="000000"/>
                <w:sz w:val="20"/>
                <w:szCs w:val="20"/>
              </w:rPr>
            </w:pPr>
            <w:r>
              <w:rPr>
                <w:rFonts w:hint="eastAsia" w:ascii="宋体" w:hAnsi="宋体" w:eastAsia="宋体" w:cs="宋体"/>
                <w:snapToGrid w:val="0"/>
                <w:color w:val="000000"/>
                <w:kern w:val="0"/>
                <w:sz w:val="20"/>
                <w:szCs w:val="20"/>
                <w:lang w:bidi="ar"/>
              </w:rPr>
              <w:t>控制工程</w:t>
            </w:r>
          </w:p>
        </w:tc>
        <w:tc>
          <w:tcPr>
            <w:tcW w:w="2460" w:type="dxa"/>
            <w:tcBorders>
              <w:top w:val="single" w:color="000000" w:sz="4" w:space="0"/>
              <w:left w:val="single" w:color="000000" w:sz="4" w:space="0"/>
              <w:bottom w:val="single" w:color="000000" w:sz="4" w:space="0"/>
              <w:right w:val="single" w:color="000000" w:sz="4" w:space="0"/>
            </w:tcBorders>
            <w:vAlign w:val="center"/>
          </w:tcPr>
          <w:p w14:paraId="12A63BB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日9：</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0—11：</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3C318EFF">
            <w:pPr>
              <w:widowControl/>
              <w:jc w:val="left"/>
              <w:textAlignment w:val="center"/>
              <w:rPr>
                <w:rFonts w:hint="default" w:ascii="宋体" w:hAnsi="宋体" w:eastAsia="宋体" w:cs="宋体"/>
                <w:color w:val="auto"/>
                <w:sz w:val="20"/>
                <w:szCs w:val="20"/>
                <w:lang w:val="en-US" w:eastAsia="zh-CN"/>
              </w:rPr>
            </w:pPr>
            <w:r>
              <w:rPr>
                <w:rFonts w:hint="eastAsia" w:ascii="宋体" w:hAnsi="宋体" w:eastAsia="宋体" w:cs="宋体"/>
                <w:snapToGrid w:val="0"/>
                <w:color w:val="auto"/>
                <w:kern w:val="0"/>
                <w:sz w:val="20"/>
                <w:szCs w:val="20"/>
                <w:lang w:bidi="ar"/>
              </w:rPr>
              <w:t>成龙校区一教</w:t>
            </w:r>
            <w:r>
              <w:rPr>
                <w:rFonts w:hint="eastAsia" w:ascii="宋体" w:hAnsi="宋体" w:eastAsia="宋体" w:cs="宋体"/>
                <w:snapToGrid w:val="0"/>
                <w:color w:val="auto"/>
                <w:kern w:val="0"/>
                <w:sz w:val="20"/>
                <w:szCs w:val="20"/>
                <w:lang w:val="en-US" w:eastAsia="zh-CN" w:bidi="ar"/>
              </w:rPr>
              <w:t>B115</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5B7113DB">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专业复试（笔试）</w:t>
            </w:r>
          </w:p>
        </w:tc>
      </w:tr>
      <w:tr w14:paraId="6C8C7A8D">
        <w:tblPrEx>
          <w:tblCellMar>
            <w:top w:w="0" w:type="dxa"/>
            <w:left w:w="108" w:type="dxa"/>
            <w:bottom w:w="0" w:type="dxa"/>
            <w:right w:w="108" w:type="dxa"/>
          </w:tblCellMar>
        </w:tblPrEx>
        <w:trPr>
          <w:trHeight w:val="540" w:hRule="atLeast"/>
        </w:trPr>
        <w:tc>
          <w:tcPr>
            <w:tcW w:w="1065" w:type="dxa"/>
            <w:vMerge w:val="continue"/>
            <w:tcBorders>
              <w:left w:val="single" w:color="auto" w:sz="4" w:space="0"/>
              <w:right w:val="single" w:color="auto" w:sz="4" w:space="0"/>
            </w:tcBorders>
            <w:vAlign w:val="center"/>
          </w:tcPr>
          <w:p w14:paraId="7AA9ECDD">
            <w:pPr>
              <w:jc w:val="center"/>
              <w:rPr>
                <w:rFonts w:ascii="宋体" w:hAnsi="宋体" w:eastAsia="宋体" w:cs="宋体"/>
                <w:color w:val="000000"/>
                <w:sz w:val="20"/>
                <w:szCs w:val="20"/>
              </w:rPr>
            </w:pPr>
          </w:p>
        </w:tc>
        <w:tc>
          <w:tcPr>
            <w:tcW w:w="1431" w:type="dxa"/>
            <w:vMerge w:val="continue"/>
            <w:tcBorders>
              <w:left w:val="single" w:color="auto" w:sz="4" w:space="0"/>
              <w:right w:val="nil"/>
            </w:tcBorders>
            <w:noWrap/>
            <w:vAlign w:val="center"/>
          </w:tcPr>
          <w:p w14:paraId="1539BE67">
            <w:pPr>
              <w:jc w:val="center"/>
              <w:rPr>
                <w:rFonts w:ascii="宋体" w:hAnsi="宋体" w:eastAsia="宋体" w:cs="宋体"/>
                <w:color w:val="000000"/>
                <w:sz w:val="20"/>
                <w:szCs w:val="20"/>
              </w:rPr>
            </w:pPr>
          </w:p>
        </w:tc>
        <w:tc>
          <w:tcPr>
            <w:tcW w:w="2460" w:type="dxa"/>
            <w:tcBorders>
              <w:top w:val="single" w:color="000000" w:sz="4" w:space="0"/>
              <w:left w:val="single" w:color="000000" w:sz="4" w:space="0"/>
              <w:bottom w:val="single" w:color="000000" w:sz="4" w:space="0"/>
              <w:right w:val="single" w:color="000000" w:sz="4" w:space="0"/>
            </w:tcBorders>
            <w:noWrap/>
            <w:vAlign w:val="center"/>
          </w:tcPr>
          <w:p w14:paraId="7E84DDF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日1</w:t>
            </w:r>
            <w:r>
              <w:rPr>
                <w:rFonts w:hint="eastAsia" w:ascii="宋体" w:hAnsi="宋体" w:eastAsia="宋体" w:cs="宋体"/>
                <w:color w:val="000000"/>
                <w:kern w:val="0"/>
                <w:sz w:val="20"/>
                <w:szCs w:val="20"/>
                <w:lang w:val="en-US" w:eastAsia="zh-CN" w:bidi="ar"/>
              </w:rPr>
              <w:t>4</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0—18：</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65198285">
            <w:pPr>
              <w:widowControl/>
              <w:jc w:val="left"/>
              <w:textAlignment w:val="center"/>
              <w:rPr>
                <w:rFonts w:hint="default" w:ascii="宋体" w:hAnsi="宋体" w:eastAsia="宋体" w:cs="宋体"/>
                <w:color w:val="auto"/>
                <w:sz w:val="20"/>
                <w:szCs w:val="20"/>
                <w:lang w:val="en-US"/>
              </w:rPr>
            </w:pPr>
            <w:r>
              <w:rPr>
                <w:rFonts w:hint="eastAsia" w:ascii="宋体" w:hAnsi="宋体" w:eastAsia="宋体" w:cs="宋体"/>
                <w:snapToGrid w:val="0"/>
                <w:color w:val="auto"/>
                <w:kern w:val="0"/>
                <w:sz w:val="20"/>
                <w:szCs w:val="20"/>
                <w:lang w:bidi="ar"/>
              </w:rPr>
              <w:t>成龙校区</w:t>
            </w:r>
            <w:r>
              <w:rPr>
                <w:rFonts w:hint="eastAsia" w:ascii="宋体" w:hAnsi="宋体" w:eastAsia="宋体" w:cs="宋体"/>
                <w:snapToGrid w:val="0"/>
                <w:color w:val="auto"/>
                <w:kern w:val="0"/>
                <w:sz w:val="20"/>
                <w:szCs w:val="20"/>
                <w:lang w:val="en-US" w:eastAsia="zh-CN" w:bidi="ar"/>
              </w:rPr>
              <w:t>第三实验楼中405-2</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7523ADBC">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综合面试</w:t>
            </w:r>
          </w:p>
        </w:tc>
      </w:tr>
      <w:tr w14:paraId="10864B52">
        <w:tblPrEx>
          <w:tblCellMar>
            <w:top w:w="0" w:type="dxa"/>
            <w:left w:w="108" w:type="dxa"/>
            <w:bottom w:w="0" w:type="dxa"/>
            <w:right w:w="108" w:type="dxa"/>
          </w:tblCellMar>
        </w:tblPrEx>
        <w:trPr>
          <w:trHeight w:val="540" w:hRule="atLeast"/>
        </w:trPr>
        <w:tc>
          <w:tcPr>
            <w:tcW w:w="1065" w:type="dxa"/>
            <w:vMerge w:val="continue"/>
            <w:tcBorders>
              <w:left w:val="single" w:color="auto" w:sz="4" w:space="0"/>
              <w:bottom w:val="single" w:color="auto" w:sz="4" w:space="0"/>
              <w:right w:val="single" w:color="auto" w:sz="4" w:space="0"/>
            </w:tcBorders>
            <w:vAlign w:val="center"/>
          </w:tcPr>
          <w:p w14:paraId="1CABFAD1">
            <w:pPr>
              <w:jc w:val="center"/>
              <w:rPr>
                <w:rFonts w:ascii="宋体" w:hAnsi="宋体" w:eastAsia="宋体" w:cs="宋体"/>
                <w:color w:val="000000"/>
                <w:sz w:val="20"/>
                <w:szCs w:val="20"/>
              </w:rPr>
            </w:pPr>
          </w:p>
        </w:tc>
        <w:tc>
          <w:tcPr>
            <w:tcW w:w="1431" w:type="dxa"/>
            <w:vMerge w:val="continue"/>
            <w:tcBorders>
              <w:left w:val="single" w:color="auto" w:sz="4" w:space="0"/>
              <w:bottom w:val="nil"/>
              <w:right w:val="nil"/>
            </w:tcBorders>
            <w:noWrap/>
            <w:vAlign w:val="center"/>
          </w:tcPr>
          <w:p w14:paraId="68BA6C1F">
            <w:pPr>
              <w:jc w:val="center"/>
              <w:rPr>
                <w:rFonts w:ascii="宋体" w:hAnsi="宋体" w:eastAsia="宋体" w:cs="宋体"/>
                <w:color w:val="000000"/>
                <w:sz w:val="20"/>
                <w:szCs w:val="20"/>
              </w:rPr>
            </w:pPr>
          </w:p>
        </w:tc>
        <w:tc>
          <w:tcPr>
            <w:tcW w:w="2460" w:type="dxa"/>
            <w:tcBorders>
              <w:top w:val="single" w:color="000000" w:sz="4" w:space="0"/>
              <w:left w:val="single" w:color="000000" w:sz="4" w:space="0"/>
              <w:bottom w:val="single" w:color="000000" w:sz="4" w:space="0"/>
              <w:right w:val="single" w:color="000000" w:sz="4" w:space="0"/>
            </w:tcBorders>
            <w:noWrap/>
            <w:vAlign w:val="center"/>
          </w:tcPr>
          <w:p w14:paraId="6CB6464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日1</w:t>
            </w:r>
            <w:r>
              <w:rPr>
                <w:rFonts w:hint="eastAsia" w:ascii="宋体" w:hAnsi="宋体" w:eastAsia="宋体" w:cs="宋体"/>
                <w:color w:val="000000"/>
                <w:kern w:val="0"/>
                <w:sz w:val="20"/>
                <w:szCs w:val="20"/>
                <w:lang w:val="en-US" w:eastAsia="zh-CN" w:bidi="ar"/>
              </w:rPr>
              <w:t>4</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0—18：</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F060">
            <w:pPr>
              <w:widowControl/>
              <w:jc w:val="left"/>
              <w:textAlignment w:val="center"/>
              <w:rPr>
                <w:rFonts w:hint="default" w:ascii="宋体" w:hAnsi="宋体" w:eastAsia="宋体" w:cs="宋体"/>
                <w:color w:val="auto"/>
                <w:kern w:val="2"/>
                <w:sz w:val="20"/>
                <w:szCs w:val="20"/>
                <w:lang w:val="en-US" w:eastAsia="zh-CN" w:bidi="ar-SA"/>
              </w:rPr>
            </w:pPr>
            <w:r>
              <w:rPr>
                <w:rFonts w:hint="eastAsia" w:ascii="宋体" w:hAnsi="宋体" w:eastAsia="宋体" w:cs="宋体"/>
                <w:snapToGrid w:val="0"/>
                <w:color w:val="auto"/>
                <w:kern w:val="0"/>
                <w:sz w:val="20"/>
                <w:szCs w:val="20"/>
                <w:lang w:bidi="ar"/>
              </w:rPr>
              <w:t>成龙校区</w:t>
            </w:r>
            <w:r>
              <w:rPr>
                <w:rFonts w:hint="eastAsia" w:ascii="宋体" w:hAnsi="宋体" w:eastAsia="宋体" w:cs="宋体"/>
                <w:snapToGrid w:val="0"/>
                <w:color w:val="auto"/>
                <w:kern w:val="0"/>
                <w:sz w:val="20"/>
                <w:szCs w:val="20"/>
                <w:lang w:val="en-US" w:eastAsia="zh-CN" w:bidi="ar"/>
              </w:rPr>
              <w:t>第三实验楼</w:t>
            </w:r>
            <w:r>
              <w:rPr>
                <w:rFonts w:hint="eastAsia" w:ascii="宋体" w:hAnsi="宋体" w:eastAsia="宋体" w:cs="宋体"/>
                <w:snapToGrid w:val="0"/>
                <w:color w:val="auto"/>
                <w:kern w:val="0"/>
                <w:sz w:val="20"/>
                <w:szCs w:val="20"/>
                <w:lang w:bidi="ar"/>
              </w:rPr>
              <w:t>东210-2</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1DCB9F51">
            <w:pPr>
              <w:widowControl/>
              <w:jc w:val="left"/>
              <w:textAlignment w:val="center"/>
              <w:rPr>
                <w:rFonts w:hint="eastAsia" w:ascii="宋体" w:hAnsi="宋体" w:eastAsia="宋体" w:cs="宋体"/>
                <w:snapToGrid w:val="0"/>
                <w:color w:val="auto"/>
                <w:kern w:val="0"/>
                <w:sz w:val="20"/>
                <w:szCs w:val="20"/>
                <w:lang w:bidi="ar"/>
              </w:rPr>
            </w:pPr>
            <w:r>
              <w:rPr>
                <w:rFonts w:hint="eastAsia" w:ascii="宋体" w:hAnsi="宋体" w:eastAsia="宋体" w:cs="宋体"/>
                <w:snapToGrid w:val="0"/>
                <w:color w:val="auto"/>
                <w:kern w:val="0"/>
                <w:sz w:val="20"/>
                <w:szCs w:val="20"/>
                <w:lang w:bidi="ar"/>
              </w:rPr>
              <w:t>外语口语</w:t>
            </w:r>
            <w:r>
              <w:rPr>
                <w:rFonts w:hint="eastAsia" w:ascii="宋体" w:hAnsi="宋体" w:eastAsia="宋体" w:cs="宋体"/>
                <w:snapToGrid w:val="0"/>
                <w:color w:val="auto"/>
                <w:kern w:val="0"/>
                <w:sz w:val="20"/>
                <w:szCs w:val="20"/>
                <w:lang w:val="en-US" w:eastAsia="zh-CN" w:bidi="ar"/>
              </w:rPr>
              <w:t>面</w:t>
            </w:r>
            <w:r>
              <w:rPr>
                <w:rFonts w:hint="eastAsia" w:ascii="宋体" w:hAnsi="宋体" w:eastAsia="宋体" w:cs="宋体"/>
                <w:snapToGrid w:val="0"/>
                <w:color w:val="auto"/>
                <w:kern w:val="0"/>
                <w:sz w:val="20"/>
                <w:szCs w:val="20"/>
                <w:lang w:bidi="ar"/>
              </w:rPr>
              <w:t>试</w:t>
            </w:r>
          </w:p>
        </w:tc>
      </w:tr>
      <w:tr w14:paraId="66E61679">
        <w:tblPrEx>
          <w:tblCellMar>
            <w:top w:w="0" w:type="dxa"/>
            <w:left w:w="108" w:type="dxa"/>
            <w:bottom w:w="0" w:type="dxa"/>
            <w:right w:w="108" w:type="dxa"/>
          </w:tblCellMar>
        </w:tblPrEx>
        <w:trPr>
          <w:trHeight w:val="540" w:hRule="atLeast"/>
        </w:trPr>
        <w:tc>
          <w:tcPr>
            <w:tcW w:w="1065" w:type="dxa"/>
            <w:vMerge w:val="restart"/>
            <w:tcBorders>
              <w:top w:val="single" w:color="auto" w:sz="4" w:space="0"/>
              <w:left w:val="single" w:color="000000" w:sz="4" w:space="0"/>
              <w:right w:val="single" w:color="000000" w:sz="4" w:space="0"/>
            </w:tcBorders>
            <w:vAlign w:val="center"/>
          </w:tcPr>
          <w:p w14:paraId="0C00058E">
            <w:pPr>
              <w:widowControl/>
              <w:jc w:val="center"/>
              <w:textAlignment w:val="center"/>
              <w:rPr>
                <w:rFonts w:ascii="宋体" w:hAnsi="宋体" w:eastAsia="宋体" w:cs="宋体"/>
                <w:color w:val="000000"/>
                <w:sz w:val="20"/>
                <w:szCs w:val="20"/>
              </w:rPr>
            </w:pPr>
            <w:r>
              <w:rPr>
                <w:rFonts w:hint="eastAsia" w:ascii="宋体" w:hAnsi="宋体" w:eastAsia="宋体" w:cs="宋体"/>
                <w:snapToGrid w:val="0"/>
                <w:color w:val="000000"/>
                <w:kern w:val="0"/>
                <w:sz w:val="20"/>
                <w:szCs w:val="20"/>
                <w:lang w:bidi="ar"/>
              </w:rPr>
              <w:t>085411</w:t>
            </w:r>
          </w:p>
        </w:tc>
        <w:tc>
          <w:tcPr>
            <w:tcW w:w="1431" w:type="dxa"/>
            <w:vMerge w:val="restart"/>
            <w:tcBorders>
              <w:top w:val="single" w:color="000000" w:sz="4" w:space="0"/>
              <w:left w:val="single" w:color="000000" w:sz="4" w:space="0"/>
              <w:right w:val="single" w:color="000000" w:sz="4" w:space="0"/>
            </w:tcBorders>
            <w:noWrap/>
            <w:vAlign w:val="center"/>
          </w:tcPr>
          <w:p w14:paraId="04D98B93">
            <w:pPr>
              <w:widowControl/>
              <w:jc w:val="center"/>
              <w:textAlignment w:val="center"/>
              <w:rPr>
                <w:rFonts w:ascii="宋体" w:hAnsi="宋体" w:eastAsia="宋体" w:cs="宋体"/>
                <w:color w:val="000000"/>
                <w:sz w:val="20"/>
                <w:szCs w:val="20"/>
              </w:rPr>
            </w:pPr>
            <w:r>
              <w:rPr>
                <w:rFonts w:hint="eastAsia" w:ascii="宋体" w:hAnsi="宋体" w:eastAsia="宋体" w:cs="宋体"/>
                <w:snapToGrid w:val="0"/>
                <w:color w:val="000000"/>
                <w:kern w:val="0"/>
                <w:sz w:val="20"/>
                <w:szCs w:val="20"/>
                <w:lang w:bidi="ar"/>
              </w:rPr>
              <w:t>大数据技术与工程</w:t>
            </w:r>
          </w:p>
        </w:tc>
        <w:tc>
          <w:tcPr>
            <w:tcW w:w="2460" w:type="dxa"/>
            <w:tcBorders>
              <w:top w:val="single" w:color="000000" w:sz="4" w:space="0"/>
              <w:left w:val="nil"/>
              <w:bottom w:val="single" w:color="000000" w:sz="4" w:space="0"/>
              <w:right w:val="single" w:color="000000" w:sz="4" w:space="0"/>
            </w:tcBorders>
            <w:vAlign w:val="center"/>
          </w:tcPr>
          <w:p w14:paraId="2AA86A4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w:t>
            </w:r>
            <w:r>
              <w:rPr>
                <w:rFonts w:ascii="宋体" w:hAnsi="宋体" w:eastAsia="宋体" w:cs="宋体"/>
                <w:color w:val="000000"/>
                <w:kern w:val="0"/>
                <w:sz w:val="20"/>
                <w:szCs w:val="20"/>
                <w:lang w:bidi="ar"/>
              </w:rPr>
              <w:t>9</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r>
              <w:rPr>
                <w:rFonts w:ascii="宋体" w:hAnsi="宋体" w:eastAsia="宋体" w:cs="宋体"/>
                <w:color w:val="000000"/>
                <w:kern w:val="0"/>
                <w:sz w:val="20"/>
                <w:szCs w:val="20"/>
                <w:lang w:bidi="ar"/>
              </w:rPr>
              <w:t>11</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52DE9881">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成龙校区一教</w:t>
            </w:r>
            <w:r>
              <w:rPr>
                <w:rFonts w:hint="eastAsia" w:ascii="宋体" w:hAnsi="宋体" w:eastAsia="宋体" w:cs="宋体"/>
                <w:snapToGrid w:val="0"/>
                <w:color w:val="auto"/>
                <w:kern w:val="0"/>
                <w:sz w:val="20"/>
                <w:szCs w:val="20"/>
                <w:lang w:val="en-US" w:eastAsia="zh-CN" w:bidi="ar"/>
              </w:rPr>
              <w:t>B115</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01B827D0">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专业复试（笔试）</w:t>
            </w:r>
          </w:p>
        </w:tc>
      </w:tr>
      <w:tr w14:paraId="076240DB">
        <w:tblPrEx>
          <w:tblCellMar>
            <w:top w:w="0" w:type="dxa"/>
            <w:left w:w="108" w:type="dxa"/>
            <w:bottom w:w="0" w:type="dxa"/>
            <w:right w:w="108" w:type="dxa"/>
          </w:tblCellMar>
        </w:tblPrEx>
        <w:trPr>
          <w:trHeight w:val="540" w:hRule="atLeast"/>
        </w:trPr>
        <w:tc>
          <w:tcPr>
            <w:tcW w:w="1065" w:type="dxa"/>
            <w:vMerge w:val="continue"/>
            <w:tcBorders>
              <w:left w:val="single" w:color="000000" w:sz="4" w:space="0"/>
              <w:right w:val="single" w:color="000000" w:sz="4" w:space="0"/>
            </w:tcBorders>
            <w:vAlign w:val="center"/>
          </w:tcPr>
          <w:p w14:paraId="5473A719">
            <w:pPr>
              <w:jc w:val="center"/>
              <w:rPr>
                <w:rFonts w:ascii="宋体" w:hAnsi="宋体" w:eastAsia="宋体" w:cs="宋体"/>
                <w:color w:val="000000"/>
                <w:sz w:val="20"/>
                <w:szCs w:val="20"/>
              </w:rPr>
            </w:pPr>
          </w:p>
        </w:tc>
        <w:tc>
          <w:tcPr>
            <w:tcW w:w="1431" w:type="dxa"/>
            <w:vMerge w:val="continue"/>
            <w:tcBorders>
              <w:left w:val="single" w:color="000000" w:sz="4" w:space="0"/>
              <w:right w:val="single" w:color="000000" w:sz="4" w:space="0"/>
            </w:tcBorders>
            <w:noWrap/>
            <w:vAlign w:val="center"/>
          </w:tcPr>
          <w:p w14:paraId="606244F6">
            <w:pPr>
              <w:jc w:val="center"/>
              <w:rPr>
                <w:rFonts w:ascii="宋体" w:hAnsi="宋体" w:eastAsia="宋体" w:cs="宋体"/>
                <w:color w:val="000000"/>
                <w:sz w:val="20"/>
                <w:szCs w:val="20"/>
              </w:rPr>
            </w:pPr>
          </w:p>
        </w:tc>
        <w:tc>
          <w:tcPr>
            <w:tcW w:w="2460" w:type="dxa"/>
            <w:tcBorders>
              <w:top w:val="single" w:color="000000" w:sz="4" w:space="0"/>
              <w:left w:val="nil"/>
              <w:bottom w:val="single" w:color="000000" w:sz="4" w:space="0"/>
              <w:right w:val="single" w:color="000000" w:sz="4" w:space="0"/>
            </w:tcBorders>
            <w:noWrap/>
            <w:vAlign w:val="center"/>
          </w:tcPr>
          <w:p w14:paraId="34BBD7A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日1</w:t>
            </w:r>
            <w:r>
              <w:rPr>
                <w:rFonts w:hint="eastAsia" w:ascii="宋体" w:hAnsi="宋体" w:eastAsia="宋体" w:cs="宋体"/>
                <w:color w:val="000000"/>
                <w:kern w:val="0"/>
                <w:sz w:val="20"/>
                <w:szCs w:val="20"/>
                <w:lang w:val="en-US" w:eastAsia="zh-CN" w:bidi="ar"/>
              </w:rPr>
              <w:t>4</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0—18：</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0BBDE79F">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成龙校区</w:t>
            </w:r>
            <w:r>
              <w:rPr>
                <w:rFonts w:hint="eastAsia" w:ascii="宋体" w:hAnsi="宋体" w:eastAsia="宋体" w:cs="宋体"/>
                <w:snapToGrid w:val="0"/>
                <w:color w:val="auto"/>
                <w:kern w:val="0"/>
                <w:sz w:val="20"/>
                <w:szCs w:val="20"/>
                <w:lang w:val="en-US" w:eastAsia="zh-CN" w:bidi="ar"/>
              </w:rPr>
              <w:t>第三实验楼中304-2</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6BDBB0E6">
            <w:pPr>
              <w:widowControl/>
              <w:jc w:val="left"/>
              <w:textAlignment w:val="center"/>
              <w:rPr>
                <w:rFonts w:ascii="宋体" w:hAnsi="宋体" w:eastAsia="宋体" w:cs="宋体"/>
                <w:color w:val="auto"/>
                <w:sz w:val="20"/>
                <w:szCs w:val="20"/>
              </w:rPr>
            </w:pPr>
            <w:r>
              <w:rPr>
                <w:rFonts w:hint="eastAsia" w:ascii="宋体" w:hAnsi="宋体" w:eastAsia="宋体" w:cs="宋体"/>
                <w:snapToGrid w:val="0"/>
                <w:color w:val="auto"/>
                <w:kern w:val="0"/>
                <w:sz w:val="20"/>
                <w:szCs w:val="20"/>
                <w:lang w:bidi="ar"/>
              </w:rPr>
              <w:t>综合面试</w:t>
            </w:r>
          </w:p>
        </w:tc>
      </w:tr>
      <w:tr w14:paraId="7A296D5A">
        <w:tblPrEx>
          <w:tblCellMar>
            <w:top w:w="0" w:type="dxa"/>
            <w:left w:w="108" w:type="dxa"/>
            <w:bottom w:w="0" w:type="dxa"/>
            <w:right w:w="108" w:type="dxa"/>
          </w:tblCellMar>
        </w:tblPrEx>
        <w:trPr>
          <w:trHeight w:val="540" w:hRule="atLeast"/>
        </w:trPr>
        <w:tc>
          <w:tcPr>
            <w:tcW w:w="1065" w:type="dxa"/>
            <w:vMerge w:val="continue"/>
            <w:tcBorders>
              <w:left w:val="single" w:color="000000" w:sz="4" w:space="0"/>
              <w:bottom w:val="single" w:color="auto" w:sz="4" w:space="0"/>
              <w:right w:val="single" w:color="000000" w:sz="4" w:space="0"/>
            </w:tcBorders>
            <w:vAlign w:val="center"/>
          </w:tcPr>
          <w:p w14:paraId="3EC32E70">
            <w:pPr>
              <w:jc w:val="center"/>
              <w:rPr>
                <w:rFonts w:ascii="宋体" w:hAnsi="宋体" w:eastAsia="宋体" w:cs="宋体"/>
                <w:color w:val="000000"/>
                <w:sz w:val="20"/>
                <w:szCs w:val="20"/>
              </w:rPr>
            </w:pPr>
          </w:p>
        </w:tc>
        <w:tc>
          <w:tcPr>
            <w:tcW w:w="1431" w:type="dxa"/>
            <w:vMerge w:val="continue"/>
            <w:tcBorders>
              <w:left w:val="single" w:color="000000" w:sz="4" w:space="0"/>
              <w:bottom w:val="single" w:color="000000" w:sz="4" w:space="0"/>
              <w:right w:val="single" w:color="000000" w:sz="4" w:space="0"/>
            </w:tcBorders>
            <w:noWrap/>
            <w:vAlign w:val="center"/>
          </w:tcPr>
          <w:p w14:paraId="2C3B1FC7">
            <w:pPr>
              <w:jc w:val="center"/>
              <w:rPr>
                <w:rFonts w:ascii="宋体" w:hAnsi="宋体" w:eastAsia="宋体" w:cs="宋体"/>
                <w:color w:val="000000"/>
                <w:sz w:val="20"/>
                <w:szCs w:val="20"/>
              </w:rPr>
            </w:pPr>
          </w:p>
        </w:tc>
        <w:tc>
          <w:tcPr>
            <w:tcW w:w="2460" w:type="dxa"/>
            <w:tcBorders>
              <w:top w:val="single" w:color="000000" w:sz="4" w:space="0"/>
              <w:left w:val="nil"/>
              <w:bottom w:val="single" w:color="000000" w:sz="4" w:space="0"/>
              <w:right w:val="single" w:color="000000" w:sz="4" w:space="0"/>
            </w:tcBorders>
            <w:noWrap/>
            <w:vAlign w:val="center"/>
          </w:tcPr>
          <w:p w14:paraId="1F9F40B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3月3</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日1</w:t>
            </w:r>
            <w:r>
              <w:rPr>
                <w:rFonts w:hint="eastAsia" w:ascii="宋体" w:hAnsi="宋体" w:eastAsia="宋体" w:cs="宋体"/>
                <w:color w:val="000000"/>
                <w:kern w:val="0"/>
                <w:sz w:val="20"/>
                <w:szCs w:val="20"/>
                <w:lang w:val="en-US" w:eastAsia="zh-CN" w:bidi="ar"/>
              </w:rPr>
              <w:t>4</w:t>
            </w:r>
            <w:r>
              <w:rPr>
                <w:rFonts w:hint="eastAsia" w:ascii="宋体" w:hAnsi="宋体" w:eastAsia="宋体" w:cs="宋体"/>
                <w:color w:val="000000"/>
                <w:kern w:val="0"/>
                <w:sz w:val="20"/>
                <w:szCs w:val="20"/>
                <w:lang w:bidi="ar"/>
              </w:rPr>
              <w:t>：</w:t>
            </w:r>
            <w:r>
              <w:rPr>
                <w:rFonts w:hint="eastAsia" w:ascii="宋体" w:hAnsi="宋体" w:eastAsia="宋体" w:cs="宋体"/>
                <w:color w:val="000000"/>
                <w:kern w:val="0"/>
                <w:sz w:val="20"/>
                <w:szCs w:val="20"/>
                <w:lang w:val="en-US" w:eastAsia="zh-CN" w:bidi="ar"/>
              </w:rPr>
              <w:t>1</w:t>
            </w:r>
            <w:r>
              <w:rPr>
                <w:rFonts w:hint="eastAsia" w:ascii="宋体" w:hAnsi="宋体" w:eastAsia="宋体" w:cs="宋体"/>
                <w:color w:val="000000"/>
                <w:kern w:val="0"/>
                <w:sz w:val="20"/>
                <w:szCs w:val="20"/>
                <w:lang w:bidi="ar"/>
              </w:rPr>
              <w:t>0—18：</w:t>
            </w:r>
            <w:r>
              <w:rPr>
                <w:rFonts w:hint="eastAsia" w:ascii="宋体" w:hAnsi="宋体" w:eastAsia="宋体" w:cs="宋体"/>
                <w:color w:val="000000"/>
                <w:kern w:val="0"/>
                <w:sz w:val="20"/>
                <w:szCs w:val="20"/>
                <w:lang w:val="en-US" w:eastAsia="zh-CN" w:bidi="ar"/>
              </w:rPr>
              <w:t>0</w:t>
            </w:r>
            <w:r>
              <w:rPr>
                <w:rFonts w:hint="eastAsia" w:ascii="宋体" w:hAnsi="宋体" w:eastAsia="宋体" w:cs="宋体"/>
                <w:color w:val="000000"/>
                <w:kern w:val="0"/>
                <w:sz w:val="20"/>
                <w:szCs w:val="20"/>
                <w:lang w:bidi="ar"/>
              </w:rPr>
              <w:t>0</w:t>
            </w:r>
          </w:p>
        </w:tc>
        <w:tc>
          <w:tcPr>
            <w:tcW w:w="2880" w:type="dxa"/>
            <w:tcBorders>
              <w:top w:val="single" w:color="000000" w:sz="4" w:space="0"/>
              <w:left w:val="single" w:color="000000" w:sz="4" w:space="0"/>
              <w:bottom w:val="single" w:color="000000" w:sz="4" w:space="0"/>
              <w:right w:val="single" w:color="000000" w:sz="4" w:space="0"/>
            </w:tcBorders>
            <w:noWrap/>
            <w:vAlign w:val="center"/>
          </w:tcPr>
          <w:p w14:paraId="7CCD0BF8">
            <w:pPr>
              <w:widowControl/>
              <w:jc w:val="left"/>
              <w:textAlignment w:val="center"/>
              <w:rPr>
                <w:rFonts w:hint="eastAsia" w:ascii="宋体" w:hAnsi="宋体" w:eastAsia="宋体" w:cs="宋体"/>
                <w:snapToGrid w:val="0"/>
                <w:color w:val="auto"/>
                <w:kern w:val="0"/>
                <w:sz w:val="20"/>
                <w:szCs w:val="20"/>
                <w:lang w:bidi="ar"/>
              </w:rPr>
            </w:pPr>
            <w:r>
              <w:rPr>
                <w:rFonts w:hint="eastAsia" w:ascii="宋体" w:hAnsi="宋体" w:eastAsia="宋体" w:cs="宋体"/>
                <w:snapToGrid w:val="0"/>
                <w:color w:val="auto"/>
                <w:kern w:val="0"/>
                <w:sz w:val="20"/>
                <w:szCs w:val="20"/>
                <w:lang w:bidi="ar"/>
              </w:rPr>
              <w:t>成龙校区</w:t>
            </w:r>
            <w:r>
              <w:rPr>
                <w:rFonts w:hint="eastAsia" w:ascii="宋体" w:hAnsi="宋体" w:eastAsia="宋体" w:cs="宋体"/>
                <w:snapToGrid w:val="0"/>
                <w:color w:val="auto"/>
                <w:kern w:val="0"/>
                <w:sz w:val="20"/>
                <w:szCs w:val="20"/>
                <w:lang w:val="en-US" w:eastAsia="zh-CN" w:bidi="ar"/>
              </w:rPr>
              <w:t>第三实验楼</w:t>
            </w:r>
            <w:r>
              <w:rPr>
                <w:rFonts w:hint="eastAsia" w:ascii="宋体" w:hAnsi="宋体" w:eastAsia="宋体" w:cs="宋体"/>
                <w:snapToGrid w:val="0"/>
                <w:color w:val="auto"/>
                <w:kern w:val="0"/>
                <w:sz w:val="20"/>
                <w:szCs w:val="20"/>
                <w:lang w:bidi="ar"/>
              </w:rPr>
              <w:t>东210-2</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035F22A1">
            <w:pPr>
              <w:widowControl/>
              <w:jc w:val="left"/>
              <w:textAlignment w:val="center"/>
              <w:rPr>
                <w:rFonts w:hint="eastAsia" w:ascii="宋体" w:hAnsi="宋体" w:eastAsia="宋体" w:cs="宋体"/>
                <w:snapToGrid w:val="0"/>
                <w:color w:val="auto"/>
                <w:kern w:val="0"/>
                <w:sz w:val="20"/>
                <w:szCs w:val="20"/>
                <w:lang w:bidi="ar"/>
              </w:rPr>
            </w:pPr>
            <w:r>
              <w:rPr>
                <w:rFonts w:hint="eastAsia" w:ascii="宋体" w:hAnsi="宋体" w:eastAsia="宋体" w:cs="宋体"/>
                <w:snapToGrid w:val="0"/>
                <w:color w:val="auto"/>
                <w:kern w:val="0"/>
                <w:sz w:val="20"/>
                <w:szCs w:val="20"/>
                <w:lang w:bidi="ar"/>
              </w:rPr>
              <w:t>外语口语</w:t>
            </w:r>
            <w:r>
              <w:rPr>
                <w:rFonts w:hint="eastAsia" w:ascii="宋体" w:hAnsi="宋体" w:eastAsia="宋体" w:cs="宋体"/>
                <w:snapToGrid w:val="0"/>
                <w:color w:val="auto"/>
                <w:kern w:val="0"/>
                <w:sz w:val="20"/>
                <w:szCs w:val="20"/>
                <w:lang w:val="en-US" w:eastAsia="zh-CN" w:bidi="ar"/>
              </w:rPr>
              <w:t>面</w:t>
            </w:r>
            <w:r>
              <w:rPr>
                <w:rFonts w:hint="eastAsia" w:ascii="宋体" w:hAnsi="宋体" w:eastAsia="宋体" w:cs="宋体"/>
                <w:snapToGrid w:val="0"/>
                <w:color w:val="auto"/>
                <w:kern w:val="0"/>
                <w:sz w:val="20"/>
                <w:szCs w:val="20"/>
                <w:lang w:bidi="ar"/>
              </w:rPr>
              <w:t>试</w:t>
            </w:r>
          </w:p>
        </w:tc>
      </w:tr>
    </w:tbl>
    <w:p w14:paraId="03E69BF4">
      <w:pPr>
        <w:numPr>
          <w:ilvl w:val="0"/>
          <w:numId w:val="1"/>
        </w:num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复试相关注意事项</w:t>
      </w:r>
    </w:p>
    <w:p w14:paraId="2F70E290">
      <w:pPr>
        <w:pStyle w:val="2"/>
        <w:spacing w:before="114" w:line="360" w:lineRule="auto"/>
        <w:ind w:firstLine="468" w:firstLineChars="200"/>
        <w:rPr>
          <w:spacing w:val="-3"/>
          <w:lang w:eastAsia="zh-CN"/>
        </w:rPr>
      </w:pPr>
      <w:r>
        <w:rPr>
          <w:rFonts w:hint="eastAsia"/>
          <w:spacing w:val="-3"/>
          <w:lang w:eastAsia="zh-CN"/>
        </w:rPr>
        <w:t>（一）复试要求</w:t>
      </w:r>
    </w:p>
    <w:p w14:paraId="542CC4B5">
      <w:pPr>
        <w:pStyle w:val="2"/>
        <w:spacing w:before="114" w:line="360" w:lineRule="auto"/>
        <w:ind w:left="5" w:firstLine="479"/>
        <w:rPr>
          <w:spacing w:val="-3"/>
          <w:lang w:eastAsia="zh-CN"/>
        </w:rPr>
      </w:pPr>
      <w:r>
        <w:rPr>
          <w:rFonts w:hint="eastAsia"/>
          <w:spacing w:val="-3"/>
          <w:lang w:eastAsia="zh-CN"/>
        </w:rPr>
        <w:t>相关内容参看</w:t>
      </w:r>
      <w:bookmarkStart w:id="0" w:name="_Toc67510010"/>
      <w:r>
        <w:rPr>
          <w:rFonts w:hint="eastAsia"/>
          <w:spacing w:val="-3"/>
          <w:lang w:eastAsia="zh-CN"/>
        </w:rPr>
        <w:t>《四川师范大学202</w:t>
      </w:r>
      <w:r>
        <w:rPr>
          <w:rFonts w:hint="eastAsia"/>
          <w:spacing w:val="-3"/>
          <w:lang w:val="en-US" w:eastAsia="zh-CN"/>
        </w:rPr>
        <w:t>6</w:t>
      </w:r>
      <w:r>
        <w:rPr>
          <w:rFonts w:hint="eastAsia"/>
          <w:spacing w:val="-3"/>
          <w:lang w:eastAsia="zh-CN"/>
        </w:rPr>
        <w:t>年研究生招生</w:t>
      </w:r>
      <w:bookmarkEnd w:id="0"/>
      <w:r>
        <w:rPr>
          <w:rFonts w:hint="eastAsia"/>
          <w:spacing w:val="-3"/>
          <w:lang w:eastAsia="zh-CN"/>
        </w:rPr>
        <w:t>复试录取办法》</w:t>
      </w:r>
    </w:p>
    <w:p w14:paraId="6436A223">
      <w:pPr>
        <w:pStyle w:val="2"/>
        <w:spacing w:before="114" w:line="360" w:lineRule="auto"/>
        <w:ind w:firstLine="468" w:firstLineChars="200"/>
        <w:rPr>
          <w:spacing w:val="-3"/>
          <w:lang w:eastAsia="zh-CN"/>
        </w:rPr>
      </w:pPr>
      <w:r>
        <w:rPr>
          <w:rFonts w:hint="eastAsia"/>
          <w:spacing w:val="-3"/>
          <w:lang w:eastAsia="zh-CN"/>
        </w:rPr>
        <w:t>（二）调剂办法及程序</w:t>
      </w:r>
    </w:p>
    <w:p w14:paraId="0ED027AF">
      <w:pPr>
        <w:pStyle w:val="2"/>
        <w:spacing w:before="114" w:line="360" w:lineRule="auto"/>
        <w:ind w:left="5" w:firstLine="479"/>
        <w:rPr>
          <w:spacing w:val="-3"/>
          <w:lang w:eastAsia="zh-CN"/>
        </w:rPr>
      </w:pPr>
      <w:r>
        <w:rPr>
          <w:rFonts w:hint="eastAsia"/>
          <w:spacing w:val="-3"/>
          <w:lang w:eastAsia="zh-CN"/>
        </w:rPr>
        <w:t>相关内容参看《四川师范大学202</w:t>
      </w:r>
      <w:r>
        <w:rPr>
          <w:rFonts w:hint="eastAsia"/>
          <w:spacing w:val="-3"/>
          <w:lang w:val="en-US" w:eastAsia="zh-CN"/>
        </w:rPr>
        <w:t>6</w:t>
      </w:r>
      <w:r>
        <w:rPr>
          <w:rFonts w:hint="eastAsia"/>
          <w:spacing w:val="-3"/>
          <w:lang w:eastAsia="zh-CN"/>
        </w:rPr>
        <w:t>年硕士研究生招生调剂办法》</w:t>
      </w:r>
    </w:p>
    <w:p w14:paraId="17268EC6">
      <w:pPr>
        <w:pStyle w:val="2"/>
        <w:spacing w:before="114" w:line="360" w:lineRule="auto"/>
        <w:ind w:firstLine="468" w:firstLineChars="200"/>
        <w:rPr>
          <w:spacing w:val="-3"/>
          <w:lang w:eastAsia="zh-CN"/>
        </w:rPr>
      </w:pPr>
      <w:r>
        <w:rPr>
          <w:rFonts w:hint="eastAsia"/>
          <w:spacing w:val="-3"/>
          <w:lang w:eastAsia="zh-CN"/>
        </w:rPr>
        <w:t>（三）复试考生总成绩计算、加分标准及加试要求</w:t>
      </w:r>
    </w:p>
    <w:p w14:paraId="5CEC2454">
      <w:pPr>
        <w:pStyle w:val="2"/>
        <w:spacing w:before="114" w:line="360" w:lineRule="auto"/>
        <w:ind w:left="5" w:firstLine="479"/>
        <w:rPr>
          <w:spacing w:val="-3"/>
          <w:lang w:eastAsia="zh-CN"/>
        </w:rPr>
      </w:pPr>
      <w:r>
        <w:rPr>
          <w:rFonts w:hint="eastAsia"/>
          <w:spacing w:val="-3"/>
          <w:lang w:eastAsia="zh-CN"/>
        </w:rPr>
        <w:t>1.相关内容参看《四川师范大学202</w:t>
      </w:r>
      <w:r>
        <w:rPr>
          <w:rFonts w:hint="eastAsia"/>
          <w:spacing w:val="-3"/>
          <w:lang w:val="en-US" w:eastAsia="zh-CN"/>
        </w:rPr>
        <w:t>6</w:t>
      </w:r>
      <w:r>
        <w:rPr>
          <w:rFonts w:hint="eastAsia"/>
          <w:spacing w:val="-3"/>
          <w:lang w:eastAsia="zh-CN"/>
        </w:rPr>
        <w:t>年硕士研究生招生复试录取办法》《四川师范大学202</w:t>
      </w:r>
      <w:r>
        <w:rPr>
          <w:rFonts w:hint="eastAsia"/>
          <w:spacing w:val="-3"/>
          <w:lang w:val="en-US" w:eastAsia="zh-CN"/>
        </w:rPr>
        <w:t>6</w:t>
      </w:r>
      <w:r>
        <w:rPr>
          <w:rFonts w:hint="eastAsia"/>
          <w:spacing w:val="-3"/>
          <w:lang w:eastAsia="zh-CN"/>
        </w:rPr>
        <w:t>年硕士研究生招生章程》。</w:t>
      </w:r>
    </w:p>
    <w:p w14:paraId="28B9972A">
      <w:pPr>
        <w:pStyle w:val="2"/>
        <w:spacing w:before="114" w:line="360" w:lineRule="auto"/>
        <w:ind w:left="5" w:firstLine="479"/>
        <w:rPr>
          <w:spacing w:val="-3"/>
          <w:lang w:eastAsia="zh-CN"/>
        </w:rPr>
      </w:pPr>
      <w:r>
        <w:rPr>
          <w:rFonts w:hint="eastAsia"/>
          <w:spacing w:val="-3"/>
          <w:lang w:eastAsia="zh-CN"/>
        </w:rPr>
        <w:t>2.跨学科专业（或研究方向）报考的考生是否加试，我院学术分委员会根据招生章程和考生学科实情确定，加试科目内容严格按照招生章程执行，方式为笔试，每门满分100分（不计入总分）。</w:t>
      </w:r>
    </w:p>
    <w:p w14:paraId="0EDEC082">
      <w:pPr>
        <w:pStyle w:val="2"/>
        <w:spacing w:before="114" w:line="360" w:lineRule="auto"/>
        <w:ind w:firstLine="468" w:firstLineChars="200"/>
        <w:rPr>
          <w:spacing w:val="-3"/>
          <w:lang w:eastAsia="zh-CN"/>
        </w:rPr>
      </w:pPr>
      <w:r>
        <w:rPr>
          <w:rFonts w:hint="eastAsia"/>
          <w:spacing w:val="-3"/>
          <w:lang w:eastAsia="zh-CN"/>
        </w:rPr>
        <w:t>（四）复试结果公布</w:t>
      </w:r>
    </w:p>
    <w:p w14:paraId="5EB1BD14">
      <w:pPr>
        <w:pStyle w:val="2"/>
        <w:spacing w:before="114" w:line="360" w:lineRule="auto"/>
        <w:ind w:left="5" w:firstLine="479"/>
        <w:rPr>
          <w:rFonts w:hint="eastAsia"/>
          <w:spacing w:val="-3"/>
          <w:lang w:eastAsia="zh-CN"/>
        </w:rPr>
      </w:pPr>
      <w:r>
        <w:rPr>
          <w:rFonts w:hint="eastAsia"/>
          <w:spacing w:val="-3"/>
          <w:lang w:eastAsia="zh-CN"/>
        </w:rPr>
        <w:t>考生成绩将通过四川师范大学研究生院网站和四川师范大学工学院官方网站公布，公布内容只包括考生姓名、考生编号、报考专业（或方向）、初试成绩、复试成绩、总成绩及排名。研究生招生办公室统一公示全校拟录取名单，</w:t>
      </w:r>
      <w:r>
        <w:rPr>
          <w:rFonts w:hint="eastAsia"/>
          <w:spacing w:val="-3"/>
          <w:lang w:val="en-US" w:eastAsia="zh-CN"/>
        </w:rPr>
        <w:t>公示期7</w:t>
      </w:r>
      <w:r>
        <w:rPr>
          <w:rFonts w:hint="eastAsia"/>
          <w:spacing w:val="-3"/>
          <w:lang w:eastAsia="zh-CN"/>
        </w:rPr>
        <w:t>日，未经公示的考生，一律不得录取。拟录取考生经资格审查、公示、思想考核、四川省教育考试院和教育部录取检查合格后正式录取，约7月初发放录取通知书。</w:t>
      </w:r>
    </w:p>
    <w:p w14:paraId="6A993323">
      <w:pPr>
        <w:pStyle w:val="2"/>
        <w:spacing w:before="114" w:line="360" w:lineRule="auto"/>
        <w:ind w:left="5" w:firstLine="479"/>
        <w:rPr>
          <w:spacing w:val="-3"/>
          <w:lang w:eastAsia="zh-CN"/>
        </w:rPr>
      </w:pPr>
      <w:r>
        <w:rPr>
          <w:rFonts w:hint="eastAsia"/>
          <w:spacing w:val="-3"/>
          <w:lang w:eastAsia="zh-CN"/>
        </w:rPr>
        <w:t>（五）拟录取考生履行手续</w:t>
      </w:r>
    </w:p>
    <w:p w14:paraId="13F56118">
      <w:pPr>
        <w:pStyle w:val="2"/>
        <w:spacing w:before="114" w:line="360" w:lineRule="auto"/>
        <w:ind w:left="5" w:firstLine="479"/>
        <w:rPr>
          <w:spacing w:val="-3"/>
          <w:lang w:eastAsia="zh-CN"/>
        </w:rPr>
      </w:pPr>
      <w:r>
        <w:rPr>
          <w:rFonts w:hint="eastAsia"/>
          <w:spacing w:val="-3"/>
          <w:lang w:eastAsia="zh-CN"/>
        </w:rPr>
        <w:t>1.请所有拟录取考生4月25日前下载《四川师范大学博士、硕士研究生思想考核表》，将工作或学习单位的现实表现填写完善，盖章签字后寄达指定邮寄地址。</w:t>
      </w:r>
    </w:p>
    <w:p w14:paraId="42499157">
      <w:pPr>
        <w:pStyle w:val="2"/>
        <w:spacing w:before="114" w:line="360" w:lineRule="auto"/>
        <w:ind w:left="5" w:firstLine="479"/>
        <w:rPr>
          <w:spacing w:val="-3"/>
          <w:lang w:eastAsia="zh-CN"/>
        </w:rPr>
      </w:pPr>
      <w:r>
        <w:rPr>
          <w:rFonts w:hint="eastAsia"/>
          <w:spacing w:val="-3"/>
          <w:lang w:eastAsia="zh-CN"/>
        </w:rPr>
        <w:t>2.体检</w:t>
      </w:r>
    </w:p>
    <w:p w14:paraId="3BB668C2">
      <w:pPr>
        <w:pStyle w:val="2"/>
        <w:spacing w:before="114" w:line="360" w:lineRule="auto"/>
        <w:ind w:left="5" w:firstLine="479"/>
        <w:rPr>
          <w:rFonts w:hint="eastAsia"/>
          <w:spacing w:val="-3"/>
          <w:lang w:eastAsia="zh-CN"/>
        </w:rPr>
      </w:pPr>
      <w:r>
        <w:rPr>
          <w:rFonts w:hint="eastAsia"/>
          <w:spacing w:val="-3"/>
          <w:lang w:eastAsia="zh-CN"/>
        </w:rPr>
        <w:t>按照《四川师范大学202</w:t>
      </w:r>
      <w:r>
        <w:rPr>
          <w:rFonts w:hint="eastAsia"/>
          <w:spacing w:val="-3"/>
          <w:lang w:val="en-US" w:eastAsia="zh-CN"/>
        </w:rPr>
        <w:t>6</w:t>
      </w:r>
      <w:r>
        <w:rPr>
          <w:rFonts w:hint="eastAsia"/>
          <w:spacing w:val="-3"/>
          <w:lang w:eastAsia="zh-CN"/>
        </w:rPr>
        <w:t>年硕士研究生招生复试录取办法》的要求，考生体检在拟录取后进行。所有拟录取考生就近选择二级甲等以上医院或四川师范大学校医院，按教育部统一要求进行体检，4月25日前将体检表寄达指定邮寄地址。</w:t>
      </w:r>
    </w:p>
    <w:p w14:paraId="7A93D3C9">
      <w:pPr>
        <w:pStyle w:val="2"/>
        <w:numPr>
          <w:ilvl w:val="0"/>
          <w:numId w:val="2"/>
        </w:numPr>
        <w:spacing w:before="114" w:line="360" w:lineRule="auto"/>
        <w:ind w:left="5" w:firstLine="479"/>
        <w:rPr>
          <w:rFonts w:hint="eastAsia"/>
          <w:spacing w:val="-3"/>
          <w:lang w:val="en-US" w:eastAsia="zh-CN"/>
        </w:rPr>
      </w:pPr>
      <w:r>
        <w:rPr>
          <w:rFonts w:hint="eastAsia"/>
          <w:spacing w:val="-3"/>
          <w:lang w:val="en-US" w:eastAsia="zh-CN"/>
        </w:rPr>
        <w:t>档案</w:t>
      </w:r>
    </w:p>
    <w:p w14:paraId="3914D8FA">
      <w:pPr>
        <w:keepNext w:val="0"/>
        <w:keepLines w:val="0"/>
        <w:pageBreakBefore w:val="0"/>
        <w:widowControl w:val="0"/>
        <w:kinsoku/>
        <w:wordWrap/>
        <w:overflowPunct/>
        <w:topLinePunct w:val="0"/>
        <w:autoSpaceDE/>
        <w:autoSpaceDN/>
        <w:bidi w:val="0"/>
        <w:adjustRightInd/>
        <w:snapToGrid/>
        <w:spacing w:line="560" w:lineRule="exact"/>
        <w:ind w:firstLine="468" w:firstLineChars="200"/>
        <w:textAlignment w:val="auto"/>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登录202.115.196.157/dagl/下载pdf格式的调档函（准确填报“档案所在单位”和“档案所在单位地址”——彩色打印后——及时提交档案所在单位——通过机要通道将档案寄达二级招生单位党委）。</w:t>
      </w:r>
    </w:p>
    <w:p w14:paraId="6D7A87EF">
      <w:pPr>
        <w:keepNext w:val="0"/>
        <w:keepLines w:val="0"/>
        <w:pageBreakBefore w:val="0"/>
        <w:widowControl w:val="0"/>
        <w:kinsoku/>
        <w:wordWrap/>
        <w:overflowPunct/>
        <w:topLinePunct w:val="0"/>
        <w:autoSpaceDE/>
        <w:autoSpaceDN/>
        <w:bidi w:val="0"/>
        <w:adjustRightInd/>
        <w:snapToGrid/>
        <w:spacing w:line="560" w:lineRule="exact"/>
        <w:ind w:firstLine="468" w:firstLineChars="200"/>
        <w:textAlignment w:val="auto"/>
        <w:rPr>
          <w:rFonts w:hint="default"/>
          <w:spacing w:val="-3"/>
          <w:lang w:val="en-US" w:eastAsia="zh-CN"/>
        </w:rPr>
      </w:pPr>
      <w:r>
        <w:rPr>
          <w:rFonts w:hint="eastAsia" w:ascii="宋体" w:hAnsi="宋体" w:eastAsia="宋体" w:cs="宋体"/>
          <w:spacing w:val="-3"/>
          <w:kern w:val="2"/>
          <w:sz w:val="24"/>
          <w:szCs w:val="24"/>
          <w:lang w:val="en-US" w:eastAsia="zh-CN" w:bidi="ar-SA"/>
        </w:rPr>
        <w:t>4月25日前将本人（应届本科毕业生在毕业之前）全部人事档案或《四川师范大学拟录取研究生档案审查意见表》（填写完善并签字盖章）寄达工学院党政办公室。</w:t>
      </w:r>
    </w:p>
    <w:p w14:paraId="2F7F8D88">
      <w:pPr>
        <w:pStyle w:val="2"/>
        <w:spacing w:before="114" w:line="360" w:lineRule="auto"/>
        <w:ind w:left="5" w:firstLine="479"/>
        <w:rPr>
          <w:rFonts w:hint="default"/>
          <w:spacing w:val="-3"/>
          <w:lang w:val="en-US" w:eastAsia="zh-CN"/>
        </w:rPr>
      </w:pPr>
      <w:r>
        <w:rPr>
          <w:rFonts w:hint="eastAsia"/>
          <w:spacing w:val="-3"/>
          <w:lang w:val="en-US" w:eastAsia="zh-CN"/>
        </w:rPr>
        <w:t>以上三种手续材料均寄送至工学院统一地址。</w:t>
      </w:r>
      <w:r>
        <w:rPr>
          <w:rFonts w:hint="eastAsia"/>
          <w:spacing w:val="-3"/>
          <w:lang w:eastAsia="zh-CN"/>
        </w:rPr>
        <w:t>邮寄地址（注意仅接收中国邮政快递）：成都市龙泉驿区成龙大道二段 1819 号（川师大成龙校区）工学院</w:t>
      </w:r>
      <w:r>
        <w:rPr>
          <w:rFonts w:hint="eastAsia"/>
          <w:spacing w:val="-3"/>
          <w:lang w:val="en-US" w:eastAsia="zh-CN"/>
        </w:rPr>
        <w:t>党政</w:t>
      </w:r>
      <w:r>
        <w:rPr>
          <w:rFonts w:hint="eastAsia"/>
          <w:spacing w:val="-3"/>
          <w:lang w:eastAsia="zh-CN"/>
        </w:rPr>
        <w:t xml:space="preserve">办公室  </w:t>
      </w:r>
      <w:r>
        <w:rPr>
          <w:rFonts w:hint="eastAsia"/>
          <w:spacing w:val="-3"/>
          <w:lang w:val="en-US" w:eastAsia="zh-CN"/>
        </w:rPr>
        <w:t>万孟群</w:t>
      </w:r>
      <w:r>
        <w:rPr>
          <w:rFonts w:hint="eastAsia"/>
          <w:spacing w:val="-3"/>
          <w:lang w:eastAsia="zh-CN"/>
        </w:rPr>
        <w:t>老师收， 联系电话：84480157。</w:t>
      </w:r>
    </w:p>
    <w:p w14:paraId="7FCE4143">
      <w:pPr>
        <w:pStyle w:val="2"/>
        <w:spacing w:before="114" w:line="360" w:lineRule="auto"/>
        <w:ind w:left="5" w:firstLine="479"/>
        <w:rPr>
          <w:spacing w:val="-3"/>
          <w:lang w:eastAsia="zh-CN"/>
        </w:rPr>
      </w:pPr>
      <w:r>
        <w:rPr>
          <w:rFonts w:hint="eastAsia"/>
          <w:spacing w:val="-3"/>
          <w:lang w:eastAsia="zh-CN"/>
        </w:rPr>
        <w:t>详请参看《四川师范大学202</w:t>
      </w:r>
      <w:r>
        <w:rPr>
          <w:rFonts w:hint="eastAsia"/>
          <w:spacing w:val="-3"/>
          <w:lang w:val="en-US" w:eastAsia="zh-CN"/>
        </w:rPr>
        <w:t>6</w:t>
      </w:r>
      <w:r>
        <w:rPr>
          <w:rFonts w:hint="eastAsia"/>
          <w:spacing w:val="-3"/>
          <w:lang w:eastAsia="zh-CN"/>
        </w:rPr>
        <w:t>年硕士研究生招生复试录取办法》，并下载相关资料表格。</w:t>
      </w:r>
    </w:p>
    <w:p w14:paraId="32EA13F5">
      <w:pPr>
        <w:numPr>
          <w:ilvl w:val="0"/>
          <w:numId w:val="1"/>
        </w:num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其他注意事项</w:t>
      </w:r>
    </w:p>
    <w:p w14:paraId="3A39EDDB">
      <w:pPr>
        <w:pStyle w:val="2"/>
        <w:spacing w:before="114" w:line="360" w:lineRule="auto"/>
        <w:ind w:left="5" w:firstLine="479"/>
        <w:rPr>
          <w:spacing w:val="-3"/>
          <w:lang w:eastAsia="zh-CN"/>
        </w:rPr>
      </w:pPr>
      <w:r>
        <w:rPr>
          <w:rFonts w:hint="eastAsia"/>
          <w:spacing w:val="-3"/>
          <w:lang w:eastAsia="zh-CN"/>
        </w:rPr>
        <w:t>1.考生需要仔细阅读：《四川师范大学202</w:t>
      </w:r>
      <w:r>
        <w:rPr>
          <w:rFonts w:hint="eastAsia"/>
          <w:spacing w:val="-3"/>
          <w:lang w:val="en-US" w:eastAsia="zh-CN"/>
        </w:rPr>
        <w:t>6</w:t>
      </w:r>
      <w:r>
        <w:rPr>
          <w:rFonts w:hint="eastAsia"/>
          <w:spacing w:val="-3"/>
          <w:lang w:eastAsia="zh-CN"/>
        </w:rPr>
        <w:t>年硕士研究生招生章程》《四川师范大学202</w:t>
      </w:r>
      <w:r>
        <w:rPr>
          <w:rFonts w:hint="eastAsia"/>
          <w:spacing w:val="-3"/>
          <w:lang w:val="en-US" w:eastAsia="zh-CN"/>
        </w:rPr>
        <w:t>6</w:t>
      </w:r>
      <w:r>
        <w:rPr>
          <w:rFonts w:hint="eastAsia"/>
          <w:spacing w:val="-3"/>
          <w:lang w:eastAsia="zh-CN"/>
        </w:rPr>
        <w:t>年硕士研究生招生复试录取办法》等相关通知。</w:t>
      </w:r>
    </w:p>
    <w:p w14:paraId="695261AC">
      <w:pPr>
        <w:pStyle w:val="2"/>
        <w:spacing w:before="114" w:line="360" w:lineRule="auto"/>
        <w:ind w:left="5" w:firstLine="479"/>
        <w:rPr>
          <w:spacing w:val="-3"/>
          <w:lang w:eastAsia="zh-CN"/>
        </w:rPr>
      </w:pPr>
      <w:r>
        <w:rPr>
          <w:rFonts w:hint="eastAsia"/>
          <w:spacing w:val="-3"/>
          <w:lang w:eastAsia="zh-CN"/>
        </w:rPr>
        <w:t>2.尤其提醒：以官方发布信息为准，请关注四川师范大学研究生院网站和四川师范大学工学院官方网站，并保持预留的手机畅通。</w:t>
      </w:r>
    </w:p>
    <w:p w14:paraId="40CB3231">
      <w:pPr>
        <w:spacing w:line="500" w:lineRule="exact"/>
        <w:ind w:firstLine="480" w:firstLineChars="200"/>
        <w:jc w:val="left"/>
        <w:rPr>
          <w:spacing w:val="-3"/>
        </w:rPr>
      </w:pPr>
      <w:r>
        <w:rPr>
          <w:rFonts w:hint="eastAsia" w:ascii="微软雅黑" w:hAnsi="微软雅黑" w:eastAsia="微软雅黑" w:cs="微软雅黑"/>
          <w:b/>
          <w:sz w:val="24"/>
          <w:szCs w:val="24"/>
        </w:rPr>
        <w:t>五、咨询投诉电话和电子邮箱</w:t>
      </w:r>
    </w:p>
    <w:p w14:paraId="0497D0EC">
      <w:pPr>
        <w:pStyle w:val="2"/>
        <w:spacing w:before="114" w:line="360" w:lineRule="auto"/>
        <w:ind w:left="5" w:firstLine="479"/>
        <w:rPr>
          <w:spacing w:val="-3"/>
          <w:lang w:eastAsia="zh-CN"/>
        </w:rPr>
      </w:pPr>
      <w:r>
        <w:rPr>
          <w:rFonts w:hint="eastAsia"/>
          <w:spacing w:val="-3"/>
          <w:lang w:eastAsia="zh-CN"/>
        </w:rPr>
        <w:t>咨询电话：028-84480609，投诉电话：028-84480156。</w:t>
      </w:r>
    </w:p>
    <w:p w14:paraId="27968694">
      <w:pPr>
        <w:pStyle w:val="2"/>
        <w:spacing w:before="114" w:line="360" w:lineRule="auto"/>
        <w:ind w:left="5" w:firstLine="479"/>
        <w:rPr>
          <w:spacing w:val="-3"/>
          <w:lang w:eastAsia="zh-CN"/>
        </w:rPr>
      </w:pPr>
    </w:p>
    <w:p w14:paraId="1F9864B2">
      <w:pPr>
        <w:spacing w:line="500" w:lineRule="exact"/>
        <w:ind w:left="1648" w:leftChars="785"/>
        <w:jc w:val="right"/>
        <w:rPr>
          <w:rFonts w:ascii="微软雅黑" w:hAnsi="微软雅黑" w:eastAsia="微软雅黑" w:cs="微软雅黑"/>
          <w:sz w:val="32"/>
          <w:szCs w:val="32"/>
          <w:u w:val="single"/>
        </w:rPr>
      </w:pPr>
    </w:p>
    <w:p w14:paraId="17D2706D">
      <w:pPr>
        <w:spacing w:line="500" w:lineRule="exact"/>
        <w:ind w:left="1648" w:leftChars="785"/>
        <w:jc w:val="right"/>
        <w:rPr>
          <w:rStyle w:val="8"/>
          <w:rFonts w:ascii="微软雅黑" w:hAnsi="微软雅黑" w:eastAsia="微软雅黑" w:cs="微软雅黑"/>
          <w:b w:val="0"/>
          <w:sz w:val="28"/>
          <w:szCs w:val="28"/>
        </w:rPr>
      </w:pPr>
      <w:r>
        <w:rPr>
          <w:rFonts w:hint="eastAsia" w:ascii="微软雅黑" w:hAnsi="微软雅黑" w:eastAsia="微软雅黑" w:cs="微软雅黑"/>
          <w:sz w:val="32"/>
          <w:szCs w:val="32"/>
        </w:rPr>
        <w:t xml:space="preserve"> </w:t>
      </w:r>
      <w:r>
        <w:rPr>
          <w:rStyle w:val="8"/>
          <w:rFonts w:hint="eastAsia" w:ascii="微软雅黑" w:hAnsi="微软雅黑" w:eastAsia="微软雅黑" w:cs="微软雅黑"/>
          <w:b w:val="0"/>
          <w:sz w:val="28"/>
          <w:szCs w:val="28"/>
        </w:rPr>
        <w:t>工学院研究生招生工作小组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8"/>
          <w:rFonts w:hint="eastAsia" w:ascii="微软雅黑" w:hAnsi="微软雅黑" w:eastAsia="微软雅黑" w:cs="微软雅黑"/>
          <w:b w:val="0"/>
          <w:sz w:val="28"/>
          <w:szCs w:val="28"/>
        </w:rPr>
        <w:t>202</w:t>
      </w:r>
      <w:r>
        <w:rPr>
          <w:rStyle w:val="8"/>
          <w:rFonts w:hint="eastAsia" w:ascii="微软雅黑" w:hAnsi="微软雅黑" w:eastAsia="微软雅黑" w:cs="微软雅黑"/>
          <w:b w:val="0"/>
          <w:sz w:val="28"/>
          <w:szCs w:val="28"/>
          <w:lang w:val="en-US" w:eastAsia="zh-CN"/>
        </w:rPr>
        <w:t>6</w:t>
      </w:r>
      <w:r>
        <w:rPr>
          <w:rStyle w:val="8"/>
          <w:rFonts w:hint="eastAsia" w:ascii="微软雅黑" w:hAnsi="微软雅黑" w:eastAsia="微软雅黑" w:cs="微软雅黑"/>
          <w:b w:val="0"/>
          <w:sz w:val="28"/>
          <w:szCs w:val="28"/>
        </w:rPr>
        <w:t>年3月2</w:t>
      </w:r>
      <w:r>
        <w:rPr>
          <w:rStyle w:val="8"/>
          <w:rFonts w:hint="eastAsia" w:ascii="微软雅黑" w:hAnsi="微软雅黑" w:eastAsia="微软雅黑" w:cs="微软雅黑"/>
          <w:b w:val="0"/>
          <w:sz w:val="28"/>
          <w:szCs w:val="28"/>
          <w:lang w:val="en-US" w:eastAsia="zh-CN"/>
        </w:rPr>
        <w:t>6</w:t>
      </w:r>
      <w:r>
        <w:rPr>
          <w:rStyle w:val="8"/>
          <w:rFonts w:hint="eastAsia" w:ascii="微软雅黑" w:hAnsi="微软雅黑" w:eastAsia="微软雅黑" w:cs="微软雅黑"/>
          <w:b w:val="0"/>
          <w:sz w:val="28"/>
          <w:szCs w:val="28"/>
        </w:rPr>
        <w:t xml:space="preserve"> 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F22CFC"/>
    <w:multiLevelType w:val="singleLevel"/>
    <w:tmpl w:val="CCF22CFC"/>
    <w:lvl w:ilvl="0" w:tentative="0">
      <w:start w:val="3"/>
      <w:numFmt w:val="chineseCounting"/>
      <w:suff w:val="nothing"/>
      <w:lvlText w:val="%1、"/>
      <w:lvlJc w:val="left"/>
      <w:rPr>
        <w:rFonts w:hint="eastAsia"/>
      </w:rPr>
    </w:lvl>
  </w:abstractNum>
  <w:abstractNum w:abstractNumId="1">
    <w:nsid w:val="02B5F12D"/>
    <w:multiLevelType w:val="singleLevel"/>
    <w:tmpl w:val="02B5F12D"/>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B4E3C"/>
    <w:rsid w:val="000E0145"/>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20F4"/>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0FF3AFB"/>
    <w:rsid w:val="017371E3"/>
    <w:rsid w:val="02B85BF8"/>
    <w:rsid w:val="03D72C45"/>
    <w:rsid w:val="04D1736D"/>
    <w:rsid w:val="05882122"/>
    <w:rsid w:val="063F1955"/>
    <w:rsid w:val="06DA0CF9"/>
    <w:rsid w:val="0C1B5A9E"/>
    <w:rsid w:val="0CE840C8"/>
    <w:rsid w:val="0E8D41E4"/>
    <w:rsid w:val="11BE163C"/>
    <w:rsid w:val="12DF2A5A"/>
    <w:rsid w:val="1542338E"/>
    <w:rsid w:val="16D927DD"/>
    <w:rsid w:val="178110B0"/>
    <w:rsid w:val="1E3E561C"/>
    <w:rsid w:val="1F344620"/>
    <w:rsid w:val="261849A4"/>
    <w:rsid w:val="2A8910EC"/>
    <w:rsid w:val="3D023E0F"/>
    <w:rsid w:val="3DD24423"/>
    <w:rsid w:val="3E0953CE"/>
    <w:rsid w:val="4214594D"/>
    <w:rsid w:val="46453204"/>
    <w:rsid w:val="49496A9F"/>
    <w:rsid w:val="49E46C0D"/>
    <w:rsid w:val="4AF059EA"/>
    <w:rsid w:val="507765E7"/>
    <w:rsid w:val="53153580"/>
    <w:rsid w:val="5F8619FC"/>
    <w:rsid w:val="62C236F2"/>
    <w:rsid w:val="654C7BEB"/>
    <w:rsid w:val="68050737"/>
    <w:rsid w:val="6B3D6429"/>
    <w:rsid w:val="6F976E37"/>
    <w:rsid w:val="6FE23626"/>
    <w:rsid w:val="73A658CF"/>
    <w:rsid w:val="75630E4C"/>
    <w:rsid w:val="75A1363B"/>
    <w:rsid w:val="78FF0E98"/>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eastAsia="en-US"/>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reviewItem>
      <errorID>a7efe979-64e8-4dc2-bd24-29e15edb4289</errorID>
      <errorWord>：</errorWord>
      <group>L1_Format</group>
      <groupName>格式问题</groupName>
      <ability>L2_HalfPunc</ability>
      <abilityName>全半角检查</abilityName>
      <candidateList>
        <item>:</item>
      </candidateList>
      <explain>文本全半角错误。</explain>
      <paraID>12A63BB4</paraID>
      <start>6</start>
      <end>7</end>
      <status>ignored</status>
      <modifiedWord/>
      <trackRevisions>false</trackRevisions>
    </reviewItem>
    <reviewItem>
      <errorID>6306daad-0d00-4340-b22e-8cbf1717be3a</errorID>
      <errorWord>：</errorWord>
      <group>L1_Format</group>
      <groupName>格式问题</groupName>
      <ability>L2_HalfPunc</ability>
      <abilityName>全半角检查</abilityName>
      <candidateList>
        <item>:</item>
      </candidateList>
      <explain>文本全半角错误。</explain>
      <paraID>12A63BB4</paraID>
      <start>12</start>
      <end>13</end>
      <status>unmodified</status>
      <modifiedWord/>
      <trackRevisions>false</trackRevisions>
    </reviewItem>
    <reviewItem>
      <errorID>4e836e1d-bde5-4de7-a1da-2f99efa50d0f</errorID>
      <errorWord>：</errorWord>
      <group>L1_Format</group>
      <groupName>格式问题</groupName>
      <ability>L2_HalfPunc</ability>
      <abilityName>全半角检查</abilityName>
      <candidateList>
        <item>:</item>
      </candidateList>
      <explain>文本全半角错误。</explain>
      <paraID>7E84DDFF</paraID>
      <start>7</start>
      <end>8</end>
      <status>unmodified</status>
      <modifiedWord/>
      <trackRevisions>false</trackRevisions>
    </reviewItem>
    <reviewItem>
      <errorID>bea8caee-c58e-4736-943f-e9a565380245</errorID>
      <errorWord>：</errorWord>
      <group>L1_Format</group>
      <groupName>格式问题</groupName>
      <ability>L2_HalfPunc</ability>
      <abilityName>全半角检查</abilityName>
      <candidateList>
        <item>:</item>
      </candidateList>
      <explain>文本全半角错误。</explain>
      <paraID>7E84DDFF</paraID>
      <start>13</start>
      <end>14</end>
      <status>unmodified</status>
      <modifiedWord/>
      <trackRevisions>false</trackRevisions>
    </reviewItem>
    <reviewItem>
      <errorID>c9ae6be6-ac00-491b-b166-d1082ca3e06d</errorID>
      <errorWord>：</errorWord>
      <group>L1_Format</group>
      <groupName>格式问题</groupName>
      <ability>L2_HalfPunc</ability>
      <abilityName>全半角检查</abilityName>
      <candidateList>
        <item>:</item>
      </candidateList>
      <explain>文本全半角错误。</explain>
      <paraID>6CB64647</paraID>
      <start>7</start>
      <end>8</end>
      <status>unmodified</status>
      <modifiedWord/>
      <trackRevisions>false</trackRevisions>
    </reviewItem>
    <reviewItem>
      <errorID>ea5afa4b-dec6-439e-be57-765f9a434781</errorID>
      <errorWord>：</errorWord>
      <group>L1_Format</group>
      <groupName>格式问题</groupName>
      <ability>L2_HalfPunc</ability>
      <abilityName>全半角检查</abilityName>
      <candidateList>
        <item>:</item>
      </candidateList>
      <explain>文本全半角错误。</explain>
      <paraID>6CB64647</paraID>
      <start>13</start>
      <end>14</end>
      <status>unmodified</status>
      <modifiedWord/>
      <trackRevisions>false</trackRevisions>
    </reviewItem>
    <reviewItem>
      <errorID>81d75be3-2399-4bb8-ab68-337a284f48fe</errorID>
      <errorWord>：</errorWord>
      <group>L1_Format</group>
      <groupName>格式问题</groupName>
      <ability>L2_HalfPunc</ability>
      <abilityName>全半角检查</abilityName>
      <candidateList>
        <item>:</item>
      </candidateList>
      <explain>文本全半角错误。</explain>
      <paraID>2AA86A42</paraID>
      <start>6</start>
      <end>7</end>
      <status>unmodified</status>
      <modifiedWord/>
      <trackRevisions>false</trackRevisions>
    </reviewItem>
    <reviewItem>
      <errorID>08fa3805-e399-4269-aca8-89bc13b044be</errorID>
      <errorWord>：</errorWord>
      <group>L1_Format</group>
      <groupName>格式问题</groupName>
      <ability>L2_HalfPunc</ability>
      <abilityName>全半角检查</abilityName>
      <candidateList>
        <item>:</item>
      </candidateList>
      <explain>文本全半角错误。</explain>
      <paraID>2AA86A42</paraID>
      <start>12</start>
      <end>13</end>
      <status>unmodified</status>
      <modifiedWord/>
      <trackRevisions>false</trackRevisions>
    </reviewItem>
    <reviewItem>
      <errorID>847f2c01-fff8-4fe9-b3d3-98b6befdf12f</errorID>
      <errorWord>：</errorWord>
      <group>L1_Format</group>
      <groupName>格式问题</groupName>
      <ability>L2_HalfPunc</ability>
      <abilityName>全半角检查</abilityName>
      <candidateList>
        <item>:</item>
      </candidateList>
      <explain>文本全半角错误。</explain>
      <paraID>34BBD7A5</paraID>
      <start>7</start>
      <end>8</end>
      <status>unmodified</status>
      <modifiedWord/>
      <trackRevisions>false</trackRevisions>
    </reviewItem>
    <reviewItem>
      <errorID>be4c0555-7b3e-4f5b-810e-30cf83a5f393</errorID>
      <errorWord>：</errorWord>
      <group>L1_Format</group>
      <groupName>格式问题</groupName>
      <ability>L2_HalfPunc</ability>
      <abilityName>全半角检查</abilityName>
      <candidateList>
        <item>:</item>
      </candidateList>
      <explain>文本全半角错误。</explain>
      <paraID>34BBD7A5</paraID>
      <start>13</start>
      <end>14</end>
      <status>unmodified</status>
      <modifiedWord/>
      <trackRevisions>false</trackRevisions>
    </reviewItem>
    <reviewItem>
      <errorID>d0e177a0-9666-4b2a-861c-08ca60632fa9</errorID>
      <errorWord>：</errorWord>
      <group>L1_Format</group>
      <groupName>格式问题</groupName>
      <ability>L2_HalfPunc</ability>
      <abilityName>全半角检查</abilityName>
      <candidateList>
        <item>:</item>
      </candidateList>
      <explain>文本全半角错误。</explain>
      <paraID>1F9F40B3</paraID>
      <start>7</start>
      <end>8</end>
      <status>unmodified</status>
      <modifiedWord/>
      <trackRevisions>false</trackRevisions>
    </reviewItem>
    <reviewItem>
      <errorID>da37da5b-1d8f-4acd-bd38-93be2ef9c141</errorID>
      <errorWord>：</errorWord>
      <group>L1_Format</group>
      <groupName>格式问题</groupName>
      <ability>L2_HalfPunc</ability>
      <abilityName>全半角检查</abilityName>
      <candidateList>
        <item>:</item>
      </candidateList>
      <explain>文本全半角错误。</explain>
      <paraID>1F9F40B3</paraID>
      <start>13</start>
      <end>14</end>
      <status>unmodified</status>
      <modifiedWord/>
      <trackRevisions>false</trackRevisions>
    </reviewItem>
    <reviewItem>
      <errorID>fc76d9f3-1321-405c-af2a-affb05d630d2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5CEC2454</paraID>
      <start>33</start>
      <end>36</end>
      <status>unmodified</status>
      <modifiedWord/>
      <trackRevisions>false</trackRevisions>
    </reviewItem>
    <reviewItem>
      <errorID>e13e183d-0485-4b7d-8acb-afa103624836</errorID>
      <errorWord>约</errorWord>
      <group>L1_Word</group>
      <groupName>字词问题</groupName>
      <ability>L2_Typo</ability>
      <abilityName>字词错误</abilityName>
      <candidateList>
        <item>于</item>
      </candidateList>
      <explain>（於）yú❶〈介〉a）在：她生～1949年｜来信已～日前收到｜黄河发源～青海。b）向：问道～盲｜告慰～知己｜求救～人。c）给：嫁祸～人｜献身～科学事业。d）对；对于：忠～祖国｜有益～人民｜形势～我们有利。e）自；从：青出～蓝｜出～自愿。f）表示比较：大～｜少～｜高～｜低～。g）表示被动：见笑～大方之家。</explain>
      <paraID>5EB1BD14</paraID>
      <start>164</start>
      <end>165</end>
      <status>unmodified</status>
      <modifiedWord/>
      <trackRevisions>false</trackRevisions>
    </reviewItem>
    <reviewItem>
      <errorID>cb5d9ebe-f66d-4dd9-a847-c37bd34df2a8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3A39EDDB</paraID>
      <start>32</start>
      <end>35</end>
      <status>unmodified</status>
      <modifiedWord/>
      <trackRevisions>false</trackRevisions>
    </reviewItem>
  </reviewItems>
  <config/>
</contractReview>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43205-a731-4aca-bfb1-417fbc9aab5a}">
  <ds:schemaRefs/>
</ds:datastoreItem>
</file>

<file path=customXml/itemProps2.xml><?xml version="1.0" encoding="utf-8"?>
<ds:datastoreItem xmlns:ds="http://schemas.openxmlformats.org/officeDocument/2006/customXml" ds:itemID="{2AA4275B-A238-4EB3-AF16-536BBD7D76A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2322</Words>
  <Characters>2516</Characters>
  <Lines>16</Lines>
  <Paragraphs>4</Paragraphs>
  <TotalTime>1</TotalTime>
  <ScaleCrop>false</ScaleCrop>
  <LinksUpToDate>false</LinksUpToDate>
  <CharactersWithSpaces>2532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2026-03-26T11:25:30Z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