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C2B83">
      <w:pPr>
        <w:spacing w:line="360" w:lineRule="auto"/>
        <w:jc w:val="center"/>
        <w:rPr>
          <w:rFonts w:hint="default" w:ascii="Times New Roman" w:hAnsi="Times New Roman" w:eastAsia="方正小标宋简体" w:cs="Times New Roman"/>
          <w:sz w:val="36"/>
          <w:szCs w:val="40"/>
        </w:rPr>
      </w:pPr>
      <w:r>
        <w:rPr>
          <w:rFonts w:hint="default" w:ascii="Times New Roman" w:hAnsi="Times New Roman" w:eastAsia="方正小标宋简体" w:cs="Times New Roman"/>
          <w:sz w:val="36"/>
          <w:szCs w:val="40"/>
          <w:lang w:val="en-US" w:eastAsia="zh-CN"/>
        </w:rPr>
        <w:t>教育科学学院</w:t>
      </w:r>
      <w:r>
        <w:rPr>
          <w:rFonts w:hint="default" w:ascii="Times New Roman" w:hAnsi="Times New Roman" w:eastAsia="方正小标宋简体" w:cs="Times New Roman"/>
          <w:sz w:val="36"/>
          <w:szCs w:val="40"/>
        </w:rPr>
        <w:t>学院2027年接收优秀应届本科毕业生</w:t>
      </w:r>
    </w:p>
    <w:p w14:paraId="65A07DE2">
      <w:pPr>
        <w:spacing w:line="360" w:lineRule="auto"/>
        <w:jc w:val="center"/>
        <w:rPr>
          <w:rFonts w:hint="default" w:ascii="Times New Roman" w:hAnsi="Times New Roman" w:eastAsia="方正小标宋简体" w:cs="Times New Roman"/>
          <w:sz w:val="36"/>
          <w:szCs w:val="40"/>
        </w:rPr>
      </w:pPr>
      <w:r>
        <w:rPr>
          <w:rFonts w:hint="default" w:ascii="Times New Roman" w:hAnsi="Times New Roman" w:eastAsia="方正小标宋简体" w:cs="Times New Roman"/>
          <w:sz w:val="36"/>
          <w:szCs w:val="40"/>
        </w:rPr>
        <w:t>免试攻读研究生工作安排通知</w:t>
      </w:r>
    </w:p>
    <w:p w14:paraId="590A3E63">
      <w:pPr>
        <w:spacing w:line="360" w:lineRule="auto"/>
        <w:rPr>
          <w:rFonts w:hint="default" w:ascii="Times New Roman" w:hAnsi="Times New Roman" w:eastAsia="仿宋" w:cs="Times New Roman"/>
          <w:sz w:val="28"/>
          <w:szCs w:val="32"/>
        </w:rPr>
      </w:pPr>
    </w:p>
    <w:p w14:paraId="25CD6CF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rPr>
        <w:t>根据《四川师范大学2027年接收推荐免试攻读研究生（含直博生）招生章程》精神，结合学院实际，特制定我院接收</w:t>
      </w:r>
      <w:r>
        <w:rPr>
          <w:rFonts w:hint="default" w:ascii="Times New Roman" w:hAnsi="Times New Roman" w:eastAsia="仿宋" w:cs="Times New Roman"/>
          <w:sz w:val="32"/>
          <w:szCs w:val="36"/>
          <w:lang w:val="en-US"/>
        </w:rPr>
        <w:t>2027</w:t>
      </w:r>
      <w:r>
        <w:rPr>
          <w:rFonts w:hint="default" w:ascii="Times New Roman" w:hAnsi="Times New Roman" w:eastAsia="仿宋" w:cs="Times New Roman"/>
          <w:sz w:val="32"/>
          <w:szCs w:val="36"/>
        </w:rPr>
        <w:t>年优秀应届本科毕业生免试攻读研究生（简称推免生）工作方案及安排</w:t>
      </w:r>
      <w:r>
        <w:rPr>
          <w:rFonts w:hint="default" w:ascii="Times New Roman" w:hAnsi="Times New Roman" w:eastAsia="仿宋" w:cs="Times New Roman"/>
          <w:sz w:val="32"/>
          <w:szCs w:val="36"/>
          <w:lang w:eastAsia="zh-CN"/>
        </w:rPr>
        <w:t>，</w:t>
      </w:r>
      <w:r>
        <w:rPr>
          <w:rFonts w:hint="default" w:ascii="Times New Roman" w:hAnsi="Times New Roman" w:eastAsia="仿宋" w:cs="Times New Roman"/>
          <w:sz w:val="32"/>
          <w:szCs w:val="36"/>
          <w:lang w:val="en-US" w:eastAsia="zh-CN"/>
        </w:rPr>
        <w:t>具体要求</w:t>
      </w:r>
      <w:r>
        <w:rPr>
          <w:rFonts w:hint="default" w:ascii="Times New Roman" w:hAnsi="Times New Roman" w:eastAsia="仿宋" w:cs="Times New Roman"/>
          <w:sz w:val="32"/>
          <w:szCs w:val="36"/>
        </w:rPr>
        <w:t>如下。</w:t>
      </w:r>
    </w:p>
    <w:p w14:paraId="55C0CB98">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default" w:ascii="Times New Roman" w:hAnsi="Times New Roman" w:eastAsia="仿宋" w:cs="Times New Roman"/>
          <w:b/>
          <w:bCs/>
          <w:sz w:val="32"/>
          <w:szCs w:val="36"/>
          <w:lang w:val="en-US" w:eastAsia="zh-CN"/>
        </w:rPr>
      </w:pPr>
      <w:r>
        <w:rPr>
          <w:rFonts w:hint="default" w:ascii="Times New Roman" w:hAnsi="Times New Roman" w:eastAsia="仿宋" w:cs="Times New Roman"/>
          <w:b/>
          <w:bCs/>
          <w:sz w:val="32"/>
          <w:szCs w:val="36"/>
          <w:lang w:val="en-US" w:eastAsia="zh-CN"/>
        </w:rPr>
        <w:t>一、申请要求及流程</w:t>
      </w:r>
    </w:p>
    <w:p w14:paraId="0E21C5B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1.申请基本条件</w:t>
      </w:r>
    </w:p>
    <w:p w14:paraId="42AF21BF">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TW"/>
        </w:rPr>
        <w:t>（</w:t>
      </w:r>
      <w:r>
        <w:rPr>
          <w:rFonts w:hint="default" w:ascii="Times New Roman" w:hAnsi="Times New Roman" w:eastAsia="仿宋" w:cs="Times New Roman"/>
          <w:sz w:val="32"/>
          <w:szCs w:val="36"/>
          <w:lang w:val="en-US" w:eastAsia="zh-CN"/>
        </w:rPr>
        <w:t>1</w:t>
      </w:r>
      <w:r>
        <w:rPr>
          <w:rFonts w:hint="default" w:ascii="Times New Roman" w:hAnsi="Times New Roman" w:eastAsia="仿宋" w:cs="Times New Roman"/>
          <w:sz w:val="32"/>
          <w:szCs w:val="36"/>
          <w:lang w:val="en-US" w:eastAsia="zh-TW"/>
        </w:rPr>
        <w:t>）</w:t>
      </w:r>
      <w:r>
        <w:rPr>
          <w:rFonts w:hint="default" w:ascii="Times New Roman" w:hAnsi="Times New Roman" w:eastAsia="仿宋" w:cs="Times New Roman"/>
          <w:sz w:val="32"/>
          <w:szCs w:val="36"/>
          <w:lang w:val="en-US" w:eastAsia="zh-CN"/>
        </w:rPr>
        <w:t>拥护中国共产党领导</w:t>
      </w:r>
      <w:r>
        <w:rPr>
          <w:rFonts w:hint="default" w:ascii="Times New Roman" w:hAnsi="Times New Roman" w:eastAsia="仿宋" w:cs="Times New Roman"/>
          <w:sz w:val="32"/>
          <w:szCs w:val="36"/>
          <w:lang w:val="en-US" w:eastAsia="zh-TW"/>
        </w:rPr>
        <w:t>，遵纪守法、品德良好。</w:t>
      </w:r>
    </w:p>
    <w:p w14:paraId="23EC215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（2）</w:t>
      </w:r>
      <w:r>
        <w:rPr>
          <w:rFonts w:hint="default" w:ascii="Times New Roman" w:hAnsi="Times New Roman" w:eastAsia="仿宋" w:cs="Times New Roman"/>
          <w:sz w:val="32"/>
          <w:szCs w:val="36"/>
          <w:lang w:val="en-US" w:eastAsia="zh-TW"/>
        </w:rPr>
        <w:t>研究兴趣浓厚</w:t>
      </w:r>
      <w:r>
        <w:rPr>
          <w:rFonts w:hint="default" w:ascii="Times New Roman" w:hAnsi="Times New Roman" w:eastAsia="仿宋" w:cs="Times New Roman"/>
          <w:sz w:val="32"/>
          <w:szCs w:val="36"/>
          <w:lang w:val="en-US" w:eastAsia="zh-CN"/>
        </w:rPr>
        <w:t>，具</w:t>
      </w:r>
      <w:r>
        <w:rPr>
          <w:rFonts w:hint="default" w:ascii="Times New Roman" w:hAnsi="Times New Roman" w:eastAsia="仿宋" w:cs="Times New Roman"/>
          <w:sz w:val="32"/>
          <w:szCs w:val="36"/>
          <w:lang w:val="en-US" w:eastAsia="zh-TW"/>
        </w:rPr>
        <w:t>有较强的创新意识、创新能力</w:t>
      </w:r>
      <w:r>
        <w:rPr>
          <w:rFonts w:hint="default" w:ascii="Times New Roman" w:hAnsi="Times New Roman" w:eastAsia="仿宋" w:cs="Times New Roman"/>
          <w:sz w:val="32"/>
          <w:szCs w:val="36"/>
          <w:lang w:val="en-US" w:eastAsia="zh-CN"/>
        </w:rPr>
        <w:t>与培养潜质</w:t>
      </w:r>
      <w:r>
        <w:rPr>
          <w:rFonts w:hint="default" w:ascii="Times New Roman" w:hAnsi="Times New Roman" w:eastAsia="仿宋" w:cs="Times New Roman"/>
          <w:sz w:val="32"/>
          <w:szCs w:val="36"/>
          <w:lang w:val="en-US" w:eastAsia="zh-TW"/>
        </w:rPr>
        <w:t>。</w:t>
      </w:r>
    </w:p>
    <w:p w14:paraId="7B9E304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（3）应届本科毕业生且获得所在学校的推荐免试资格。</w:t>
      </w:r>
    </w:p>
    <w:p w14:paraId="2703E9C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（4）</w:t>
      </w:r>
      <w:r>
        <w:rPr>
          <w:rFonts w:hint="default" w:ascii="Times New Roman" w:hAnsi="Times New Roman" w:eastAsia="仿宋" w:cs="Times New Roman"/>
          <w:sz w:val="32"/>
          <w:szCs w:val="36"/>
          <w:lang w:val="en-US" w:eastAsia="zh-TW"/>
        </w:rPr>
        <w:t>诚实守信、学风端正，无</w:t>
      </w:r>
      <w:r>
        <w:rPr>
          <w:rFonts w:hint="default" w:ascii="Times New Roman" w:hAnsi="Times New Roman" w:eastAsia="仿宋" w:cs="Times New Roman"/>
          <w:sz w:val="32"/>
          <w:szCs w:val="36"/>
          <w:lang w:val="en-US" w:eastAsia="zh-CN"/>
        </w:rPr>
        <w:t>学术不端行为</w:t>
      </w:r>
      <w:r>
        <w:rPr>
          <w:rFonts w:hint="default" w:ascii="Times New Roman" w:hAnsi="Times New Roman" w:eastAsia="仿宋" w:cs="Times New Roman"/>
          <w:sz w:val="32"/>
          <w:szCs w:val="36"/>
          <w:lang w:val="en-US" w:eastAsia="zh-TW"/>
        </w:rPr>
        <w:t>。</w:t>
      </w:r>
    </w:p>
    <w:p w14:paraId="7266475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（5）</w:t>
      </w:r>
      <w:r>
        <w:rPr>
          <w:rFonts w:hint="default" w:ascii="Times New Roman" w:hAnsi="Times New Roman" w:eastAsia="仿宋" w:cs="Times New Roman"/>
          <w:sz w:val="32"/>
          <w:szCs w:val="36"/>
          <w:lang w:val="en-US" w:eastAsia="zh-TW"/>
        </w:rPr>
        <w:t>身心健康，符合国家规定的体检要求。</w:t>
      </w:r>
    </w:p>
    <w:p w14:paraId="0C234CE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（6）</w:t>
      </w:r>
      <w:r>
        <w:rPr>
          <w:rFonts w:hint="default" w:ascii="Times New Roman" w:hAnsi="Times New Roman" w:eastAsia="仿宋" w:cs="Times New Roman"/>
          <w:sz w:val="32"/>
          <w:szCs w:val="36"/>
          <w:lang w:val="en-US" w:eastAsia="zh-TW"/>
        </w:rPr>
        <w:t>符合各学科专业的</w:t>
      </w:r>
      <w:r>
        <w:rPr>
          <w:rFonts w:hint="default" w:ascii="Times New Roman" w:hAnsi="Times New Roman" w:eastAsia="仿宋" w:cs="Times New Roman"/>
          <w:sz w:val="32"/>
          <w:szCs w:val="36"/>
          <w:lang w:val="en-US" w:eastAsia="zh-CN"/>
        </w:rPr>
        <w:t>其他</w:t>
      </w:r>
      <w:r>
        <w:rPr>
          <w:rFonts w:hint="default" w:ascii="Times New Roman" w:hAnsi="Times New Roman" w:eastAsia="仿宋" w:cs="Times New Roman"/>
          <w:sz w:val="32"/>
          <w:szCs w:val="36"/>
          <w:lang w:val="en-US" w:eastAsia="zh-TW"/>
        </w:rPr>
        <w:t>要求。</w:t>
      </w:r>
    </w:p>
    <w:p w14:paraId="58A90D9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TW"/>
        </w:rPr>
      </w:pPr>
      <w:r>
        <w:rPr>
          <w:rFonts w:hint="default" w:ascii="Times New Roman" w:hAnsi="Times New Roman" w:eastAsia="仿宋" w:cs="Times New Roman"/>
          <w:sz w:val="32"/>
          <w:szCs w:val="36"/>
          <w:lang w:val="en-US" w:eastAsia="zh-CN"/>
        </w:rPr>
        <w:t>（7）</w:t>
      </w:r>
      <w:r>
        <w:rPr>
          <w:rFonts w:hint="default" w:ascii="Times New Roman" w:hAnsi="Times New Roman" w:eastAsia="仿宋" w:cs="Times New Roman"/>
          <w:sz w:val="32"/>
          <w:szCs w:val="36"/>
          <w:lang w:val="en-US" w:eastAsia="zh-TW"/>
        </w:rPr>
        <w:t>“支教团”推免生</w:t>
      </w:r>
      <w:r>
        <w:rPr>
          <w:rFonts w:hint="default" w:ascii="Times New Roman" w:hAnsi="Times New Roman" w:eastAsia="仿宋" w:cs="Times New Roman"/>
          <w:sz w:val="32"/>
          <w:szCs w:val="36"/>
          <w:lang w:val="en-US" w:eastAsia="zh-CN"/>
        </w:rPr>
        <w:t>除满足以上条件外，须为我校</w:t>
      </w:r>
      <w:r>
        <w:rPr>
          <w:rFonts w:hint="default" w:ascii="Times New Roman" w:hAnsi="Times New Roman" w:eastAsia="仿宋" w:cs="Times New Roman"/>
          <w:sz w:val="32"/>
          <w:szCs w:val="36"/>
          <w:lang w:val="en-US" w:eastAsia="zh-TW"/>
        </w:rPr>
        <w:t>应届本科毕业生</w:t>
      </w:r>
      <w:r>
        <w:rPr>
          <w:rFonts w:hint="default" w:ascii="Times New Roman" w:hAnsi="Times New Roman" w:eastAsia="仿宋" w:cs="Times New Roman"/>
          <w:sz w:val="32"/>
          <w:szCs w:val="36"/>
          <w:lang w:val="en-US" w:eastAsia="zh-CN"/>
        </w:rPr>
        <w:t>，</w:t>
      </w:r>
      <w:r>
        <w:rPr>
          <w:rFonts w:hint="default" w:ascii="Times New Roman" w:hAnsi="Times New Roman" w:eastAsia="仿宋" w:cs="Times New Roman"/>
          <w:sz w:val="32"/>
          <w:szCs w:val="36"/>
          <w:lang w:val="en-US" w:eastAsia="zh-TW"/>
        </w:rPr>
        <w:t>符合《关于选拔四川师范大学第二十</w:t>
      </w:r>
      <w:r>
        <w:rPr>
          <w:rFonts w:hint="default" w:ascii="Times New Roman" w:hAnsi="Times New Roman" w:eastAsia="仿宋" w:cs="Times New Roman"/>
          <w:sz w:val="32"/>
          <w:szCs w:val="36"/>
          <w:lang w:val="en-US" w:eastAsia="zh-CN"/>
        </w:rPr>
        <w:t>九</w:t>
      </w:r>
      <w:r>
        <w:rPr>
          <w:rFonts w:hint="default" w:ascii="Times New Roman" w:hAnsi="Times New Roman" w:eastAsia="仿宋" w:cs="Times New Roman"/>
          <w:sz w:val="32"/>
          <w:szCs w:val="36"/>
          <w:lang w:val="en-US" w:eastAsia="zh-TW"/>
        </w:rPr>
        <w:t>届研究生支教团志愿者的通知》要求</w:t>
      </w:r>
      <w:r>
        <w:rPr>
          <w:rFonts w:hint="default" w:ascii="Times New Roman" w:hAnsi="Times New Roman" w:eastAsia="仿宋" w:cs="Times New Roman"/>
          <w:sz w:val="32"/>
          <w:szCs w:val="36"/>
          <w:lang w:val="en-US" w:eastAsia="zh-CN"/>
        </w:rPr>
        <w:t>，取得我校</w:t>
      </w:r>
      <w:r>
        <w:rPr>
          <w:rFonts w:hint="default" w:ascii="Times New Roman" w:hAnsi="Times New Roman" w:eastAsia="仿宋" w:cs="Times New Roman"/>
          <w:sz w:val="32"/>
          <w:szCs w:val="36"/>
          <w:lang w:val="en-US" w:eastAsia="zh-TW"/>
        </w:rPr>
        <w:t>研支团推免资格。</w:t>
      </w:r>
    </w:p>
    <w:p w14:paraId="011C96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sz w:val="32"/>
          <w:szCs w:val="36"/>
          <w:lang w:val="en-US" w:eastAsia="zh-CN"/>
        </w:rPr>
      </w:pPr>
      <w:r>
        <w:rPr>
          <w:rFonts w:hint="eastAsia" w:ascii="Times New Roman" w:hAnsi="Times New Roman" w:eastAsia="仿宋" w:cs="Times New Roman"/>
          <w:sz w:val="32"/>
          <w:szCs w:val="36"/>
          <w:lang w:val="en-US" w:eastAsia="zh-CN"/>
        </w:rPr>
        <w:t>（8）</w:t>
      </w:r>
      <w:r>
        <w:rPr>
          <w:rFonts w:hint="default" w:ascii="方正仿宋_GB2312" w:hAnsi="方正仿宋_GB2312" w:eastAsia="方正仿宋_GB2312" w:cs="方正仿宋_GB2312"/>
          <w:sz w:val="32"/>
          <w:szCs w:val="32"/>
          <w:lang w:val="en-US" w:eastAsia="zh-TW"/>
        </w:rPr>
        <w:t>申请“直博生”的</w:t>
      </w:r>
      <w:r>
        <w:rPr>
          <w:rFonts w:hint="eastAsia" w:ascii="方正仿宋_GB2312" w:hAnsi="方正仿宋_GB2312" w:eastAsia="方正仿宋_GB2312" w:cs="方正仿宋_GB2312"/>
          <w:sz w:val="32"/>
          <w:szCs w:val="32"/>
          <w:lang w:val="en-US" w:eastAsia="zh-CN"/>
        </w:rPr>
        <w:t>还需</w:t>
      </w:r>
      <w:r>
        <w:rPr>
          <w:rFonts w:hint="default" w:ascii="方正仿宋_GB2312" w:hAnsi="方正仿宋_GB2312" w:eastAsia="方正仿宋_GB2312" w:cs="方正仿宋_GB2312"/>
          <w:sz w:val="32"/>
          <w:szCs w:val="32"/>
          <w:lang w:val="en-US" w:eastAsia="zh-TW"/>
        </w:rPr>
        <w:t>符合《四川师范大学直接攻读博士学位研究生管理办法（试行）》文件要求。</w:t>
      </w:r>
      <w:bookmarkStart w:id="0" w:name="_GoBack"/>
      <w:bookmarkEnd w:id="0"/>
    </w:p>
    <w:p w14:paraId="6F465BF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2.申请材料及申请方式</w:t>
      </w:r>
    </w:p>
    <w:p w14:paraId="02030DAC">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参考《四川师范大学2027年接收推荐免试攻读硕士研究生和直接攻读博士学位研究生章程》</w:t>
      </w:r>
    </w:p>
    <w:p w14:paraId="0F1BCB3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资格审查材料：</w:t>
      </w:r>
    </w:p>
    <w:p w14:paraId="349F6991">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（1）二代居民身份证、学生证原件及复印件（身份证复印正反面，学生证复印学生信息和注册情况），个人简历；</w:t>
      </w:r>
    </w:p>
    <w:p w14:paraId="06D65F9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（2）《教育部学籍在线验证报告》；</w:t>
      </w:r>
    </w:p>
    <w:p w14:paraId="25CD78AB">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（3）本科阶段学习成绩单，加盖所在学校教务处公章；</w:t>
      </w:r>
    </w:p>
    <w:p w14:paraId="2AB9FCDE">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（4）公开发表的学术论文、科研成果、奖励证书及外语水平证明等支撑材料的原件及复印件；</w:t>
      </w:r>
    </w:p>
    <w:p w14:paraId="312679D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（5）</w:t>
      </w:r>
      <w:r>
        <w:rPr>
          <w:rFonts w:hint="default" w:ascii="Times New Roman" w:hAnsi="Times New Roman" w:eastAsia="仿宋" w:cs="Times New Roman"/>
          <w:sz w:val="32"/>
          <w:szCs w:val="36"/>
          <w:lang w:val="en-US" w:eastAsia="zh-TW"/>
        </w:rPr>
        <w:t>申请“直博生”的</w:t>
      </w:r>
      <w:r>
        <w:rPr>
          <w:rFonts w:hint="default" w:ascii="Times New Roman" w:hAnsi="Times New Roman" w:eastAsia="仿宋" w:cs="Times New Roman"/>
          <w:sz w:val="32"/>
          <w:szCs w:val="36"/>
          <w:lang w:val="en-US" w:eastAsia="zh-CN"/>
        </w:rPr>
        <w:t>还需提供拟攻读博士学位的研究计划、《四川师范大学2027年招收直接攻读博士学位研究生入学申请表》。</w:t>
      </w:r>
    </w:p>
    <w:p w14:paraId="78A94A3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3.材料提交时间</w:t>
      </w:r>
    </w:p>
    <w:p w14:paraId="73DD7926">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申请人在“全国推荐免试攻读研究生（免初试、转段）信息公开管理服务系统”（http://yz.chsi.com.cn）报名后</w:t>
      </w:r>
      <w:r>
        <w:rPr>
          <w:rFonts w:hint="eastAsia" w:ascii="Times New Roman" w:hAnsi="Times New Roman" w:eastAsia="仿宋" w:cs="Times New Roman"/>
          <w:sz w:val="32"/>
          <w:szCs w:val="36"/>
          <w:lang w:val="en-US" w:eastAsia="zh-CN"/>
        </w:rPr>
        <w:t>，</w:t>
      </w:r>
      <w:r>
        <w:rPr>
          <w:rFonts w:hint="default" w:ascii="Times New Roman" w:hAnsi="Times New Roman" w:eastAsia="仿宋" w:cs="Times New Roman"/>
          <w:sz w:val="32"/>
          <w:szCs w:val="36"/>
          <w:lang w:val="en-US" w:eastAsia="zh-CN"/>
        </w:rPr>
        <w:t>请于9月23日18:00之前按要求提交申请材料电子版至学院邮箱</w:t>
      </w:r>
      <w:r>
        <w:rPr>
          <w:rFonts w:hint="default" w:ascii="Times New Roman" w:hAnsi="Times New Roman" w:eastAsia="仿宋" w:cs="Times New Roman"/>
          <w:sz w:val="32"/>
          <w:szCs w:val="36"/>
          <w:lang w:val="en-US" w:eastAsia="zh-CN"/>
        </w:rPr>
        <w:fldChar w:fldCharType="begin"/>
      </w:r>
      <w:r>
        <w:rPr>
          <w:rFonts w:hint="default" w:ascii="Times New Roman" w:hAnsi="Times New Roman" w:eastAsia="仿宋" w:cs="Times New Roman"/>
          <w:sz w:val="32"/>
          <w:szCs w:val="36"/>
          <w:lang w:val="en-US" w:eastAsia="zh-CN"/>
        </w:rPr>
        <w:instrText xml:space="preserve"> HYPERLINK "mailto:csjiaokeyuanfushi@163.com。" </w:instrText>
      </w:r>
      <w:r>
        <w:rPr>
          <w:rFonts w:hint="default" w:ascii="Times New Roman" w:hAnsi="Times New Roman" w:eastAsia="仿宋" w:cs="Times New Roman"/>
          <w:sz w:val="32"/>
          <w:szCs w:val="36"/>
          <w:lang w:val="en-US" w:eastAsia="zh-CN"/>
        </w:rPr>
        <w:fldChar w:fldCharType="separate"/>
      </w:r>
      <w:r>
        <w:rPr>
          <w:rStyle w:val="9"/>
          <w:rFonts w:hint="default" w:ascii="Times New Roman" w:hAnsi="Times New Roman" w:eastAsia="仿宋" w:cs="Times New Roman"/>
          <w:sz w:val="32"/>
          <w:szCs w:val="36"/>
          <w:lang w:val="en-US" w:eastAsia="zh-CN"/>
        </w:rPr>
        <w:t>csjiaokeyuanfushi@163.com。</w:t>
      </w:r>
      <w:r>
        <w:rPr>
          <w:rFonts w:hint="default" w:ascii="Times New Roman" w:hAnsi="Times New Roman" w:eastAsia="仿宋" w:cs="Times New Roman"/>
          <w:sz w:val="32"/>
          <w:szCs w:val="36"/>
          <w:lang w:val="en-US" w:eastAsia="zh-CN"/>
        </w:rPr>
        <w:fldChar w:fldCharType="end"/>
      </w:r>
    </w:p>
    <w:p w14:paraId="6AB60EE2">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通过材料审核考生，来我院报到时，请将上述报名材料清单顺序装订成册，一式五份。</w:t>
      </w:r>
    </w:p>
    <w:p w14:paraId="546BF36C">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bCs/>
          <w:color w:val="auto"/>
          <w:sz w:val="32"/>
          <w:szCs w:val="32"/>
          <w:shd w:val="clear" w:fill="FFFF00"/>
          <w:lang w:val="en-US" w:eastAsia="zh-CN"/>
        </w:rPr>
      </w:pPr>
      <w:r>
        <w:rPr>
          <w:rFonts w:hint="default" w:ascii="Times New Roman" w:hAnsi="Times New Roman" w:eastAsia="仿宋" w:cs="Times New Roman"/>
          <w:b/>
          <w:bCs/>
          <w:sz w:val="32"/>
          <w:szCs w:val="36"/>
          <w:lang w:val="en-US" w:eastAsia="zh-CN"/>
        </w:rPr>
        <w:t>二、复试成绩考核及具体安排</w:t>
      </w:r>
    </w:p>
    <w:p w14:paraId="399F23F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640" w:firstLineChars="200"/>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1.复试内容与形式</w:t>
      </w:r>
    </w:p>
    <w:p w14:paraId="1790829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640" w:firstLineChars="200"/>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复试包含专业知识考核、外国语听力及口语测试、思想政治素质和品德考核，采用线下面试形式进行。重点考查申请人对教育学专业基础知识及前沿问题的了解、科研能力思维能力、语言表达能力、外语应用能力、学术创新能力等方面的水平。</w:t>
      </w:r>
    </w:p>
    <w:p w14:paraId="13F96A1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640" w:firstLineChars="200"/>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2.复试总成绩构成</w:t>
      </w:r>
    </w:p>
    <w:p w14:paraId="70B9A8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640" w:firstLineChars="200"/>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复试总成绩＝A专业测试+B综合能力面试+C外国语听力及口语测试+D学术成果加分</w:t>
      </w:r>
    </w:p>
    <w:p w14:paraId="256BA9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640" w:firstLineChars="200"/>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每位申请人面试时长不少于</w:t>
      </w:r>
      <w:r>
        <w:rPr>
          <w:rFonts w:hint="eastAsia" w:eastAsia="仿宋" w:cs="Times New Roman"/>
          <w:color w:val="auto"/>
          <w:kern w:val="2"/>
          <w:sz w:val="32"/>
          <w:szCs w:val="36"/>
          <w:lang w:val="en-US" w:eastAsia="zh-CN" w:bidi="ar-SA"/>
        </w:rPr>
        <w:t>25</w:t>
      </w:r>
      <w:r>
        <w:rPr>
          <w:rFonts w:hint="default" w:ascii="Times New Roman" w:hAnsi="Times New Roman" w:eastAsia="仿宋" w:cs="Times New Roman"/>
          <w:color w:val="auto"/>
          <w:kern w:val="2"/>
          <w:sz w:val="32"/>
          <w:szCs w:val="36"/>
          <w:lang w:val="en-US" w:eastAsia="zh-CN" w:bidi="ar-SA"/>
        </w:rPr>
        <w:t>分钟，具体安排为：</w:t>
      </w:r>
    </w:p>
    <w:p w14:paraId="3C2513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A专业测试（或特殊技能、专长测试），满分200分，包括专业综合课和专业基础课，面试时长不少于</w:t>
      </w:r>
      <w:r>
        <w:rPr>
          <w:rFonts w:hint="eastAsia" w:eastAsia="仿宋" w:cs="Times New Roman"/>
          <w:color w:val="auto"/>
          <w:kern w:val="2"/>
          <w:sz w:val="32"/>
          <w:szCs w:val="36"/>
          <w:lang w:val="en-US" w:eastAsia="zh-CN" w:bidi="ar-SA"/>
        </w:rPr>
        <w:t>15</w:t>
      </w:r>
      <w:r>
        <w:rPr>
          <w:rFonts w:hint="default" w:ascii="Times New Roman" w:hAnsi="Times New Roman" w:eastAsia="仿宋" w:cs="Times New Roman"/>
          <w:color w:val="auto"/>
          <w:kern w:val="2"/>
          <w:sz w:val="32"/>
          <w:szCs w:val="36"/>
          <w:lang w:val="en-US" w:eastAsia="zh-CN" w:bidi="ar-SA"/>
        </w:rPr>
        <w:t>分钟；</w:t>
      </w:r>
    </w:p>
    <w:p w14:paraId="32843C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B综合能力面试（含思想政治素质和品德考核）满分80分，面试时长不少于5分钟；</w:t>
      </w:r>
    </w:p>
    <w:p w14:paraId="756AF3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C外国语听力及口语测试满分20分，面试时长不少于5分钟。</w:t>
      </w:r>
    </w:p>
    <w:p w14:paraId="718784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D类学术成果加分（具体见附件）</w:t>
      </w:r>
    </w:p>
    <w:p w14:paraId="4C33A3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150" w:leftChars="0" w:right="0" w:firstLine="489" w:firstLineChars="153"/>
        <w:textAlignment w:val="auto"/>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3.复试总成绩要求</w:t>
      </w:r>
    </w:p>
    <w:p w14:paraId="4FBA34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default" w:ascii="Times New Roman" w:hAnsi="Times New Roman" w:eastAsia="仿宋" w:cs="Times New Roman"/>
          <w:color w:val="auto"/>
          <w:kern w:val="2"/>
          <w:sz w:val="32"/>
          <w:szCs w:val="36"/>
          <w:lang w:val="en-US" w:eastAsia="zh-CN" w:bidi="ar-SA"/>
        </w:rPr>
      </w:pPr>
      <w:r>
        <w:rPr>
          <w:rFonts w:hint="default" w:ascii="Times New Roman" w:hAnsi="Times New Roman" w:eastAsia="仿宋" w:cs="Times New Roman"/>
          <w:color w:val="auto"/>
          <w:kern w:val="2"/>
          <w:sz w:val="32"/>
          <w:szCs w:val="36"/>
          <w:lang w:val="en-US" w:eastAsia="zh-CN" w:bidi="ar-SA"/>
        </w:rPr>
        <w:t>专业测试成绩低于120分、综合能力面试成绩低于48分、外国语听力及口语测试成绩低于12分者，复试不合格，不予接收。复试合格者，按照综合成绩排名择优录取。</w:t>
      </w:r>
    </w:p>
    <w:tbl>
      <w:tblPr>
        <w:tblStyle w:val="6"/>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4313"/>
        <w:gridCol w:w="2929"/>
      </w:tblGrid>
      <w:tr w14:paraId="78CA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636" w:type="dxa"/>
            <w:tcBorders>
              <w:top w:val="single" w:color="auto" w:sz="4" w:space="0"/>
              <w:left w:val="single" w:color="auto" w:sz="4" w:space="0"/>
              <w:bottom w:val="single" w:color="auto" w:sz="4" w:space="0"/>
              <w:right w:val="single" w:color="auto" w:sz="4" w:space="0"/>
            </w:tcBorders>
            <w:vAlign w:val="center"/>
          </w:tcPr>
          <w:p w14:paraId="681FFF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时间</w:t>
            </w:r>
          </w:p>
        </w:tc>
        <w:tc>
          <w:tcPr>
            <w:tcW w:w="4313" w:type="dxa"/>
            <w:tcBorders>
              <w:top w:val="single" w:color="auto" w:sz="4" w:space="0"/>
              <w:left w:val="single" w:color="auto" w:sz="4" w:space="0"/>
              <w:bottom w:val="single" w:color="auto" w:sz="4" w:space="0"/>
              <w:right w:val="single" w:color="auto" w:sz="4" w:space="0"/>
            </w:tcBorders>
            <w:vAlign w:val="center"/>
          </w:tcPr>
          <w:p w14:paraId="361D32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bCs/>
                <w:sz w:val="28"/>
                <w:szCs w:val="28"/>
                <w:lang w:val="en-US" w:eastAsia="zh-CN"/>
              </w:rPr>
            </w:pPr>
            <w:r>
              <w:rPr>
                <w:rFonts w:hint="default" w:ascii="Times New Roman" w:hAnsi="Times New Roman" w:eastAsia="仿宋" w:cs="Times New Roman"/>
                <w:b/>
                <w:bCs/>
                <w:sz w:val="28"/>
                <w:szCs w:val="28"/>
              </w:rPr>
              <w:t>复试</w:t>
            </w:r>
            <w:r>
              <w:rPr>
                <w:rFonts w:hint="default" w:ascii="Times New Roman" w:hAnsi="Times New Roman" w:eastAsia="仿宋" w:cs="Times New Roman"/>
                <w:b/>
                <w:bCs/>
                <w:sz w:val="28"/>
                <w:szCs w:val="28"/>
                <w:lang w:val="en-US" w:eastAsia="zh-CN"/>
              </w:rPr>
              <w:t>内容</w:t>
            </w:r>
          </w:p>
        </w:tc>
        <w:tc>
          <w:tcPr>
            <w:tcW w:w="2929" w:type="dxa"/>
            <w:tcBorders>
              <w:top w:val="single" w:color="auto" w:sz="4" w:space="0"/>
              <w:left w:val="single" w:color="auto" w:sz="4" w:space="0"/>
              <w:bottom w:val="single" w:color="auto" w:sz="4" w:space="0"/>
              <w:right w:val="single" w:color="auto" w:sz="4" w:space="0"/>
            </w:tcBorders>
            <w:vAlign w:val="center"/>
          </w:tcPr>
          <w:p w14:paraId="12ADF8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地点</w:t>
            </w:r>
          </w:p>
        </w:tc>
      </w:tr>
      <w:tr w14:paraId="57BC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636" w:type="dxa"/>
            <w:vMerge w:val="restart"/>
            <w:tcBorders>
              <w:top w:val="single" w:color="auto" w:sz="4" w:space="0"/>
              <w:left w:val="single" w:color="auto" w:sz="4" w:space="0"/>
              <w:right w:val="single" w:color="auto" w:sz="4" w:space="0"/>
            </w:tcBorders>
            <w:vAlign w:val="center"/>
          </w:tcPr>
          <w:p w14:paraId="2EFA3B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9月2</w:t>
            </w:r>
            <w:r>
              <w:rPr>
                <w:rFonts w:hint="default" w:ascii="Times New Roman" w:hAnsi="Times New Roman" w:eastAsia="仿宋" w:cs="Times New Roman"/>
                <w:sz w:val="28"/>
                <w:szCs w:val="28"/>
                <w:lang w:val="en-US" w:eastAsia="zh-CN"/>
              </w:rPr>
              <w:t>4</w:t>
            </w:r>
            <w:r>
              <w:rPr>
                <w:rFonts w:hint="default" w:ascii="Times New Roman" w:hAnsi="Times New Roman" w:eastAsia="仿宋" w:cs="Times New Roman"/>
                <w:sz w:val="28"/>
                <w:szCs w:val="28"/>
              </w:rPr>
              <w:t>日</w:t>
            </w:r>
          </w:p>
          <w:p w14:paraId="714EF7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8:30</w:t>
            </w:r>
            <w:r>
              <w:rPr>
                <w:rFonts w:hint="eastAsia" w:ascii="Times New Roman" w:hAnsi="Times New Roman" w:eastAsia="仿宋" w:cs="Times New Roman"/>
                <w:sz w:val="28"/>
                <w:szCs w:val="28"/>
                <w:lang w:val="en-US" w:eastAsia="zh-CN"/>
              </w:rPr>
              <w:t>开始</w:t>
            </w:r>
          </w:p>
        </w:tc>
        <w:tc>
          <w:tcPr>
            <w:tcW w:w="4313" w:type="dxa"/>
            <w:tcBorders>
              <w:top w:val="single" w:color="auto" w:sz="4" w:space="0"/>
              <w:left w:val="single" w:color="auto" w:sz="4" w:space="0"/>
              <w:bottom w:val="single" w:color="auto" w:sz="4" w:space="0"/>
              <w:right w:val="single" w:color="auto" w:sz="4" w:space="0"/>
            </w:tcBorders>
            <w:vAlign w:val="center"/>
          </w:tcPr>
          <w:p w14:paraId="4CEB8B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专业测试</w:t>
            </w:r>
          </w:p>
        </w:tc>
        <w:tc>
          <w:tcPr>
            <w:tcW w:w="2929" w:type="dxa"/>
            <w:vMerge w:val="restart"/>
            <w:tcBorders>
              <w:top w:val="single" w:color="auto" w:sz="4" w:space="0"/>
              <w:left w:val="single" w:color="auto" w:sz="4" w:space="0"/>
              <w:right w:val="single" w:color="auto" w:sz="4" w:space="0"/>
            </w:tcBorders>
            <w:vAlign w:val="center"/>
          </w:tcPr>
          <w:p w14:paraId="452455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四川师范大学</w:t>
            </w:r>
          </w:p>
          <w:p w14:paraId="699C05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第二办公区（314、310）</w:t>
            </w:r>
          </w:p>
        </w:tc>
      </w:tr>
      <w:tr w14:paraId="171B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636" w:type="dxa"/>
            <w:vMerge w:val="continue"/>
            <w:tcBorders>
              <w:left w:val="single" w:color="auto" w:sz="4" w:space="0"/>
              <w:right w:val="single" w:color="auto" w:sz="4" w:space="0"/>
            </w:tcBorders>
            <w:vAlign w:val="center"/>
          </w:tcPr>
          <w:p w14:paraId="25E1C19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center"/>
              <w:textAlignment w:val="auto"/>
              <w:rPr>
                <w:rFonts w:hint="default" w:ascii="Times New Roman" w:hAnsi="Times New Roman" w:eastAsia="仿宋" w:cs="Times New Roman"/>
                <w:sz w:val="22"/>
                <w:szCs w:val="22"/>
              </w:rPr>
            </w:pPr>
          </w:p>
        </w:tc>
        <w:tc>
          <w:tcPr>
            <w:tcW w:w="4313" w:type="dxa"/>
            <w:tcBorders>
              <w:top w:val="single" w:color="auto" w:sz="4" w:space="0"/>
              <w:left w:val="single" w:color="auto" w:sz="4" w:space="0"/>
              <w:bottom w:val="single" w:color="auto" w:sz="4" w:space="0"/>
              <w:right w:val="single" w:color="auto" w:sz="4" w:space="0"/>
            </w:tcBorders>
            <w:vAlign w:val="center"/>
          </w:tcPr>
          <w:p w14:paraId="7BC0AE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综合能力测试</w:t>
            </w:r>
          </w:p>
        </w:tc>
        <w:tc>
          <w:tcPr>
            <w:tcW w:w="2929" w:type="dxa"/>
            <w:vMerge w:val="continue"/>
            <w:tcBorders>
              <w:left w:val="single" w:color="auto" w:sz="4" w:space="0"/>
              <w:right w:val="single" w:color="auto" w:sz="4" w:space="0"/>
            </w:tcBorders>
            <w:vAlign w:val="center"/>
          </w:tcPr>
          <w:p w14:paraId="0D4E05F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center"/>
              <w:textAlignment w:val="auto"/>
              <w:rPr>
                <w:rFonts w:hint="default" w:ascii="Times New Roman" w:hAnsi="Times New Roman" w:eastAsia="仿宋" w:cs="Times New Roman"/>
                <w:sz w:val="22"/>
                <w:szCs w:val="22"/>
              </w:rPr>
            </w:pPr>
          </w:p>
        </w:tc>
      </w:tr>
      <w:tr w14:paraId="102F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636" w:type="dxa"/>
            <w:vMerge w:val="continue"/>
            <w:tcBorders>
              <w:left w:val="single" w:color="auto" w:sz="4" w:space="0"/>
              <w:bottom w:val="single" w:color="auto" w:sz="4" w:space="0"/>
              <w:right w:val="single" w:color="auto" w:sz="4" w:space="0"/>
            </w:tcBorders>
            <w:vAlign w:val="center"/>
          </w:tcPr>
          <w:p w14:paraId="00927B0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center"/>
              <w:textAlignment w:val="auto"/>
              <w:rPr>
                <w:rFonts w:hint="default" w:ascii="Times New Roman" w:hAnsi="Times New Roman" w:eastAsia="仿宋" w:cs="Times New Roman"/>
                <w:sz w:val="22"/>
                <w:szCs w:val="22"/>
              </w:rPr>
            </w:pPr>
          </w:p>
        </w:tc>
        <w:tc>
          <w:tcPr>
            <w:tcW w:w="4313" w:type="dxa"/>
            <w:tcBorders>
              <w:top w:val="single" w:color="auto" w:sz="4" w:space="0"/>
              <w:left w:val="single" w:color="auto" w:sz="4" w:space="0"/>
              <w:bottom w:val="single" w:color="auto" w:sz="4" w:space="0"/>
              <w:right w:val="single" w:color="auto" w:sz="4" w:space="0"/>
            </w:tcBorders>
            <w:vAlign w:val="center"/>
          </w:tcPr>
          <w:p w14:paraId="06F06D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外国语听力及口语测试</w:t>
            </w:r>
          </w:p>
        </w:tc>
        <w:tc>
          <w:tcPr>
            <w:tcW w:w="2929" w:type="dxa"/>
            <w:vMerge w:val="continue"/>
            <w:tcBorders>
              <w:left w:val="single" w:color="auto" w:sz="4" w:space="0"/>
              <w:bottom w:val="single" w:color="auto" w:sz="4" w:space="0"/>
              <w:right w:val="single" w:color="auto" w:sz="4" w:space="0"/>
            </w:tcBorders>
            <w:vAlign w:val="center"/>
          </w:tcPr>
          <w:p w14:paraId="27628064">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center"/>
              <w:textAlignment w:val="auto"/>
              <w:rPr>
                <w:rFonts w:hint="default" w:ascii="Times New Roman" w:hAnsi="Times New Roman" w:eastAsia="仿宋" w:cs="Times New Roman"/>
                <w:sz w:val="22"/>
                <w:szCs w:val="22"/>
              </w:rPr>
            </w:pPr>
          </w:p>
        </w:tc>
      </w:tr>
    </w:tbl>
    <w:p w14:paraId="2D62960B">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default" w:ascii="Times New Roman" w:hAnsi="Times New Roman" w:eastAsia="仿宋" w:cs="Times New Roman"/>
          <w:b/>
          <w:bCs/>
          <w:sz w:val="32"/>
          <w:szCs w:val="36"/>
          <w:lang w:val="en-US" w:eastAsia="zh-CN"/>
        </w:rPr>
      </w:pPr>
      <w:r>
        <w:rPr>
          <w:rFonts w:hint="default" w:ascii="Times New Roman" w:hAnsi="Times New Roman" w:eastAsia="仿宋" w:cs="Times New Roman"/>
          <w:b/>
          <w:bCs/>
          <w:sz w:val="32"/>
          <w:szCs w:val="36"/>
          <w:lang w:val="en-US" w:eastAsia="zh-CN"/>
        </w:rPr>
        <w:t>三、录取</w:t>
      </w:r>
    </w:p>
    <w:p w14:paraId="7E73121B">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 w:cs="Times New Roman"/>
          <w:b/>
          <w:bCs/>
          <w:sz w:val="32"/>
          <w:szCs w:val="36"/>
          <w:lang w:val="en-US" w:eastAsia="zh-CN"/>
        </w:rPr>
      </w:pPr>
      <w:r>
        <w:rPr>
          <w:rFonts w:hint="default" w:ascii="Times New Roman" w:hAnsi="Times New Roman" w:eastAsia="仿宋" w:cs="Times New Roman"/>
          <w:sz w:val="32"/>
          <w:szCs w:val="36"/>
          <w:lang w:val="en-US" w:eastAsia="zh-CN"/>
        </w:rPr>
        <w:t>拟录取名单经学校审核后在研究生院网站统一公示，公示无异议后报上级部门审核通过的，即为学校2027年推免研究生正式录取名单。直博生的录取按照《四川师范大学直接攻读博士学位研究生管理办法（试行）》规定执行。</w:t>
      </w:r>
    </w:p>
    <w:p w14:paraId="3E80BC8D">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bCs/>
          <w:sz w:val="32"/>
          <w:szCs w:val="36"/>
          <w:lang w:val="en-US" w:eastAsia="zh-CN"/>
        </w:rPr>
      </w:pPr>
      <w:r>
        <w:rPr>
          <w:rFonts w:hint="default" w:ascii="Times New Roman" w:hAnsi="Times New Roman" w:eastAsia="仿宋" w:cs="Times New Roman"/>
          <w:b/>
          <w:bCs/>
          <w:sz w:val="32"/>
          <w:szCs w:val="36"/>
          <w:lang w:val="en-US" w:eastAsia="zh-CN"/>
        </w:rPr>
        <w:t>四、联系方式</w:t>
      </w:r>
    </w:p>
    <w:p w14:paraId="7C327E1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电话：028-84768629</w:t>
      </w:r>
    </w:p>
    <w:p w14:paraId="1DEC40A4">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default" w:ascii="Times New Roman" w:hAnsi="Times New Roman" w:eastAsia="仿宋" w:cs="Times New Roman"/>
          <w:b/>
          <w:bCs/>
          <w:sz w:val="32"/>
          <w:szCs w:val="36"/>
          <w:lang w:val="en-US" w:eastAsia="zh-CN"/>
        </w:rPr>
      </w:pPr>
      <w:r>
        <w:rPr>
          <w:rFonts w:hint="default" w:ascii="Times New Roman" w:hAnsi="Times New Roman" w:eastAsia="仿宋" w:cs="Times New Roman"/>
          <w:b/>
          <w:bCs/>
          <w:sz w:val="32"/>
          <w:szCs w:val="36"/>
          <w:lang w:val="en-US" w:eastAsia="zh-CN"/>
        </w:rPr>
        <w:t>五、其他</w:t>
      </w:r>
    </w:p>
    <w:p w14:paraId="0AEA28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（一）基本学制、学习形式、学费标准及奖助等</w:t>
      </w:r>
    </w:p>
    <w:p w14:paraId="742B27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1.我校硕士研究生基本学制均为三年，直博生的基本学制为五年。</w:t>
      </w:r>
    </w:p>
    <w:p w14:paraId="227C3AA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2.我校仅全日制学习方式接收推免生。全日制研究生在读期间，须全脱产在校学习。</w:t>
      </w:r>
    </w:p>
    <w:p w14:paraId="6398BCB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3.根据国家规定，学生入学和在读期间须缴纳学费和住宿费。我校严格按照四川省物价局、四川省财政厅和四川省教育厅核定的收费标准收取学费和住宿费。</w:t>
      </w:r>
    </w:p>
    <w:p w14:paraId="589262B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4.我校实行奖助学金制度，具体情况参见《四川师范大学研究生奖助体系设置及管理办法》和各二级招生单位奖助学金评审细则。</w:t>
      </w:r>
    </w:p>
    <w:p w14:paraId="339FA3C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（二）取消录取资格的情形</w:t>
      </w:r>
    </w:p>
    <w:p w14:paraId="774DBD4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推免生如有下列情形之一者，取消录取资格：</w:t>
      </w:r>
    </w:p>
    <w:p w14:paraId="7BA721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1.在推免过程中弄虚作假，经认定不符合推荐资格或接收条件。</w:t>
      </w:r>
    </w:p>
    <w:p w14:paraId="13AAB85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2.录取当年入学时未取得国家承认的本科毕业证及学士学位证。</w:t>
      </w:r>
    </w:p>
    <w:p w14:paraId="205EF2F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3.已被我校拟录取的推免生报名参加2027年全国硕士研究生招生考试。</w:t>
      </w:r>
    </w:p>
    <w:p w14:paraId="695A7AD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4.被推荐高校取消推免资格或拟录取后至入学前发生严重违法违规违纪行为。</w:t>
      </w:r>
    </w:p>
    <w:p w14:paraId="48C94B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5.其他经学校研究生招生委员会认定的不符合我校录取要求等情况。</w:t>
      </w:r>
    </w:p>
    <w:p w14:paraId="6B1C0BD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4"/>
          <w:szCs w:val="24"/>
          <w:lang w:val="en-US" w:eastAsia="zh-CN"/>
        </w:rPr>
      </w:pPr>
    </w:p>
    <w:p w14:paraId="7E58DB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8"/>
          <w:szCs w:val="32"/>
          <w:lang w:val="en-US" w:eastAsia="zh-CN"/>
        </w:rPr>
        <w:t>附件：教育科学学院2027年接收优秀应届本科毕业生复试学术成果加分细则</w:t>
      </w:r>
    </w:p>
    <w:p w14:paraId="2B5F8D4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4"/>
          <w:szCs w:val="24"/>
          <w:lang w:val="en-US" w:eastAsia="zh-CN"/>
        </w:rPr>
      </w:pPr>
    </w:p>
    <w:p w14:paraId="3A3A76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4"/>
          <w:szCs w:val="24"/>
          <w:lang w:val="en-US" w:eastAsia="zh-CN"/>
        </w:rPr>
      </w:pPr>
    </w:p>
    <w:p w14:paraId="390FB551">
      <w:pPr>
        <w:spacing w:line="360" w:lineRule="auto"/>
        <w:jc w:val="right"/>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 xml:space="preserve">          教育科学学院招生工作小组</w:t>
      </w:r>
    </w:p>
    <w:p w14:paraId="2495E98D">
      <w:pPr>
        <w:spacing w:line="360" w:lineRule="auto"/>
        <w:jc w:val="right"/>
        <w:rPr>
          <w:rFonts w:hint="default" w:ascii="Times New Roman" w:hAnsi="Times New Roman" w:eastAsia="仿宋" w:cs="Times New Roman"/>
          <w:sz w:val="32"/>
          <w:szCs w:val="36"/>
          <w:lang w:val="en-US" w:eastAsia="zh-CN"/>
        </w:rPr>
      </w:pPr>
      <w:r>
        <w:rPr>
          <w:rFonts w:hint="default" w:ascii="Times New Roman" w:hAnsi="Times New Roman" w:eastAsia="仿宋" w:cs="Times New Roman"/>
          <w:sz w:val="32"/>
          <w:szCs w:val="36"/>
          <w:lang w:val="en-US" w:eastAsia="zh-CN"/>
        </w:rPr>
        <w:t>2026年9月18日</w:t>
      </w:r>
    </w:p>
    <w:p w14:paraId="6F5FEC1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8"/>
          <w:szCs w:val="28"/>
          <w:lang w:val="en-US" w:eastAsia="zh-CN"/>
        </w:rPr>
      </w:pPr>
    </w:p>
    <w:p w14:paraId="3DC221D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8"/>
          <w:szCs w:val="28"/>
          <w:lang w:val="en-US" w:eastAsia="zh-CN"/>
        </w:rPr>
      </w:pPr>
    </w:p>
    <w:p w14:paraId="6DA0E5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8"/>
          <w:szCs w:val="28"/>
          <w:lang w:val="en-US" w:eastAsia="zh-CN"/>
        </w:rPr>
      </w:pPr>
    </w:p>
    <w:p w14:paraId="46CCC7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w:t>
      </w:r>
    </w:p>
    <w:p w14:paraId="414098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 w:cs="Times New Roman"/>
          <w:sz w:val="28"/>
          <w:szCs w:val="28"/>
          <w:lang w:val="en-US" w:eastAsia="zh-CN"/>
        </w:rPr>
      </w:pPr>
    </w:p>
    <w:p w14:paraId="3AE717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教育科学学院2027年接收优秀应届本科毕业生复试</w:t>
      </w:r>
    </w:p>
    <w:p w14:paraId="362FFB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学术成果加分细则</w:t>
      </w:r>
    </w:p>
    <w:p w14:paraId="47FDB3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sz w:val="28"/>
          <w:szCs w:val="28"/>
        </w:rPr>
      </w:pPr>
    </w:p>
    <w:p w14:paraId="5E0D59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为规范研究生复试学术成果加分认定工作，根据相关规定和学院实际，特制定本细则。</w:t>
      </w:r>
    </w:p>
    <w:p w14:paraId="31F3C80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 w:cs="Times New Roman"/>
          <w:b/>
          <w:bCs/>
          <w:sz w:val="28"/>
          <w:szCs w:val="28"/>
          <w:lang w:eastAsia="zh-CN"/>
        </w:rPr>
      </w:pPr>
      <w:r>
        <w:rPr>
          <w:rFonts w:hint="default" w:ascii="Times New Roman" w:hAnsi="Times New Roman" w:eastAsia="仿宋" w:cs="Times New Roman"/>
          <w:b/>
          <w:bCs/>
          <w:sz w:val="28"/>
          <w:szCs w:val="28"/>
        </w:rPr>
        <w:t>一、总则</w:t>
      </w:r>
    </w:p>
    <w:p w14:paraId="5A3DE34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1.学术成果加分纳入研究生复试总成绩，累计加分不超过10分。</w:t>
      </w:r>
    </w:p>
    <w:p w14:paraId="6AAB5A9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2.成果须与报考专业相关，且为独立作者或第一作者（通讯作者不认定）。</w:t>
      </w:r>
    </w:p>
    <w:p w14:paraId="773039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3.</w:t>
      </w:r>
      <w:r>
        <w:rPr>
          <w:rFonts w:hint="default" w:ascii="Times New Roman" w:hAnsi="Times New Roman" w:eastAsia="仿宋" w:cs="Times New Roman"/>
          <w:sz w:val="28"/>
          <w:szCs w:val="28"/>
        </w:rPr>
        <w:t>学术论文需在具有正式刊号的期刊、论文集或学术</w:t>
      </w:r>
      <w:r>
        <w:rPr>
          <w:rFonts w:hint="default" w:ascii="Times New Roman" w:hAnsi="Times New Roman" w:eastAsia="仿宋" w:cs="Times New Roman"/>
          <w:sz w:val="28"/>
          <w:szCs w:val="28"/>
          <w:lang w:val="en-US" w:eastAsia="zh-CN"/>
        </w:rPr>
        <w:t>著作</w:t>
      </w:r>
      <w:r>
        <w:rPr>
          <w:rFonts w:hint="default" w:ascii="Times New Roman" w:hAnsi="Times New Roman" w:eastAsia="仿宋" w:cs="Times New Roman"/>
          <w:sz w:val="28"/>
          <w:szCs w:val="28"/>
        </w:rPr>
        <w:t>中发表；网络首发论文需提供检索证明。</w:t>
      </w:r>
    </w:p>
    <w:p w14:paraId="3557575A">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 w:cs="Times New Roman"/>
          <w:b/>
          <w:bCs/>
          <w:sz w:val="28"/>
          <w:szCs w:val="28"/>
          <w:lang w:eastAsia="zh-CN"/>
        </w:rPr>
      </w:pPr>
      <w:r>
        <w:rPr>
          <w:rFonts w:hint="default" w:ascii="Times New Roman" w:hAnsi="Times New Roman" w:eastAsia="仿宋" w:cs="Times New Roman"/>
          <w:b/>
          <w:bCs/>
          <w:sz w:val="28"/>
          <w:szCs w:val="28"/>
        </w:rPr>
        <w:t>二、加分标准</w:t>
      </w:r>
    </w:p>
    <w:p w14:paraId="292EE4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1.一般期刊</w:t>
      </w:r>
    </w:p>
    <w:p w14:paraId="0C64F3A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每篇加1分，字数不足3000字者按0.5分计。</w:t>
      </w:r>
    </w:p>
    <w:p w14:paraId="18FE0F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限篇规则：</w:t>
      </w:r>
    </w:p>
    <w:p w14:paraId="48EE156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（1）</w:t>
      </w:r>
      <w:r>
        <w:rPr>
          <w:rFonts w:hint="default" w:ascii="Times New Roman" w:hAnsi="Times New Roman" w:eastAsia="仿宋" w:cs="Times New Roman"/>
          <w:sz w:val="28"/>
          <w:szCs w:val="28"/>
          <w:lang w:val="en-US" w:eastAsia="zh-CN"/>
        </w:rPr>
        <w:t>1年</w:t>
      </w:r>
      <w:r>
        <w:rPr>
          <w:rFonts w:hint="default" w:ascii="Times New Roman" w:hAnsi="Times New Roman" w:eastAsia="仿宋" w:cs="Times New Roman"/>
          <w:sz w:val="28"/>
          <w:szCs w:val="28"/>
        </w:rPr>
        <w:t>内在同一普通期刊发表</w:t>
      </w:r>
      <w:r>
        <w:rPr>
          <w:rFonts w:hint="default" w:ascii="Times New Roman" w:hAnsi="Times New Roman" w:eastAsia="仿宋" w:cs="Times New Roman"/>
          <w:sz w:val="28"/>
          <w:szCs w:val="28"/>
          <w:lang w:val="en-US" w:eastAsia="zh-CN"/>
        </w:rPr>
        <w:t>多</w:t>
      </w:r>
      <w:r>
        <w:rPr>
          <w:rFonts w:hint="default" w:ascii="Times New Roman" w:hAnsi="Times New Roman" w:eastAsia="仿宋" w:cs="Times New Roman"/>
          <w:sz w:val="28"/>
          <w:szCs w:val="28"/>
        </w:rPr>
        <w:t>篇论文的，仅认定</w:t>
      </w: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rPr>
        <w:t>篇</w:t>
      </w:r>
      <w:r>
        <w:rPr>
          <w:rFonts w:hint="default" w:ascii="Times New Roman" w:hAnsi="Times New Roman" w:eastAsia="仿宋" w:cs="Times New Roman"/>
          <w:sz w:val="28"/>
          <w:szCs w:val="28"/>
          <w:lang w:val="en-US" w:eastAsia="zh-CN"/>
        </w:rPr>
        <w:t>；</w:t>
      </w:r>
    </w:p>
    <w:p w14:paraId="2F71B3B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（2）在同一论文集中发表多篇论文的，仅认定1篇。 </w:t>
      </w:r>
    </w:p>
    <w:p w14:paraId="5B7D99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color w:val="FF0000"/>
          <w:sz w:val="28"/>
          <w:szCs w:val="28"/>
          <w:lang w:val="en-US" w:eastAsia="zh-CN"/>
        </w:rPr>
      </w:pPr>
      <w:r>
        <w:rPr>
          <w:rFonts w:hint="default" w:ascii="Times New Roman" w:hAnsi="Times New Roman" w:eastAsia="仿宋" w:cs="Times New Roman"/>
          <w:sz w:val="28"/>
          <w:szCs w:val="28"/>
        </w:rPr>
        <w:t>2.《中文核心期刊要目总览》</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又称北大核心期刊</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CSSCI期刊</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lang w:val="en-US" w:eastAsia="zh-CN"/>
        </w:rPr>
        <w:t>扩展版</w:t>
      </w:r>
      <w:r>
        <w:rPr>
          <w:rFonts w:hint="default" w:ascii="Times New Roman" w:hAnsi="Times New Roman" w:eastAsia="仿宋" w:cs="Times New Roman"/>
          <w:sz w:val="28"/>
          <w:szCs w:val="28"/>
        </w:rPr>
        <w:t>）：每篇加</w:t>
      </w:r>
      <w:r>
        <w:rPr>
          <w:rFonts w:hint="eastAsia" w:ascii="Times New Roman" w:hAnsi="Times New Roman" w:eastAsia="仿宋" w:cs="Times New Roman"/>
          <w:sz w:val="28"/>
          <w:szCs w:val="28"/>
          <w:lang w:val="en-US" w:eastAsia="zh-CN"/>
        </w:rPr>
        <w:t>3</w:t>
      </w:r>
      <w:r>
        <w:rPr>
          <w:rFonts w:hint="default" w:ascii="Times New Roman" w:hAnsi="Times New Roman" w:eastAsia="仿宋" w:cs="Times New Roman"/>
          <w:sz w:val="28"/>
          <w:szCs w:val="28"/>
        </w:rPr>
        <w:t>分，可累计。</w:t>
      </w:r>
    </w:p>
    <w:p w14:paraId="4444C7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3.SCI、</w:t>
      </w:r>
      <w:r>
        <w:rPr>
          <w:rFonts w:hint="default" w:ascii="Times New Roman" w:hAnsi="Times New Roman" w:eastAsia="仿宋" w:cs="Times New Roman"/>
          <w:sz w:val="28"/>
          <w:szCs w:val="28"/>
          <w:lang w:val="en-US" w:eastAsia="zh-CN"/>
        </w:rPr>
        <w:t>SSCI、</w:t>
      </w:r>
      <w:r>
        <w:rPr>
          <w:rFonts w:hint="default" w:ascii="Times New Roman" w:hAnsi="Times New Roman" w:eastAsia="仿宋" w:cs="Times New Roman"/>
          <w:sz w:val="28"/>
          <w:szCs w:val="28"/>
        </w:rPr>
        <w:t>CSSCI</w:t>
      </w:r>
      <w:r>
        <w:rPr>
          <w:rFonts w:hint="eastAsia" w:ascii="Times New Roman" w:hAnsi="Times New Roman" w:eastAsia="仿宋" w:cs="Times New Roman"/>
          <w:sz w:val="28"/>
          <w:szCs w:val="28"/>
          <w:lang w:val="en-US" w:eastAsia="zh-CN"/>
        </w:rPr>
        <w:t>来源</w:t>
      </w:r>
      <w:r>
        <w:rPr>
          <w:rFonts w:hint="default" w:ascii="Times New Roman" w:hAnsi="Times New Roman" w:eastAsia="仿宋" w:cs="Times New Roman"/>
          <w:sz w:val="28"/>
          <w:szCs w:val="28"/>
        </w:rPr>
        <w:t>期刊：每篇加10分，可累计。</w:t>
      </w:r>
    </w:p>
    <w:p w14:paraId="4213FA7F">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 w:cs="Times New Roman"/>
          <w:b/>
          <w:bCs/>
          <w:sz w:val="28"/>
          <w:szCs w:val="28"/>
          <w:lang w:eastAsia="zh-CN"/>
        </w:rPr>
      </w:pPr>
      <w:r>
        <w:rPr>
          <w:rFonts w:hint="default" w:ascii="Times New Roman" w:hAnsi="Times New Roman" w:eastAsia="仿宋" w:cs="Times New Roman"/>
          <w:b/>
          <w:bCs/>
          <w:sz w:val="28"/>
          <w:szCs w:val="28"/>
        </w:rPr>
        <w:t>三、认定规则</w:t>
      </w:r>
    </w:p>
    <w:p w14:paraId="1A3AB4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 合作论文</w:t>
      </w:r>
    </w:p>
    <w:p w14:paraId="0FB02F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独立作者或第一作者论文方可加分；  </w:t>
      </w:r>
    </w:p>
    <w:p w14:paraId="4590F2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作者</w:t>
      </w:r>
      <w:r>
        <w:rPr>
          <w:rFonts w:hint="default" w:ascii="Times New Roman" w:hAnsi="Times New Roman" w:eastAsia="仿宋" w:cs="Times New Roman"/>
          <w:sz w:val="28"/>
          <w:szCs w:val="28"/>
          <w:lang w:val="en-US" w:eastAsia="zh-CN"/>
        </w:rPr>
        <w:t>人数</w:t>
      </w:r>
      <w:r>
        <w:rPr>
          <w:rFonts w:hint="default" w:ascii="Times New Roman" w:hAnsi="Times New Roman" w:eastAsia="仿宋" w:cs="Times New Roman"/>
          <w:sz w:val="28"/>
          <w:szCs w:val="28"/>
        </w:rPr>
        <w:t xml:space="preserve">为4人及以上者，排名第一的按分值×0.6系数计算（例：一般期刊论文1分×0.6=0.6分）。  </w:t>
      </w:r>
    </w:p>
    <w:p w14:paraId="24DC57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第二及之后作者不予认定。  </w:t>
      </w:r>
    </w:p>
    <w:p w14:paraId="30EE2F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2. 成果时效：仅认定复试材料提交截止日期前公开发表的成果。  </w:t>
      </w:r>
    </w:p>
    <w:p w14:paraId="735D3A0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3. 重复认定：同一成果不得跨类别重复计分（如专著与论文内容重复，仅取最高分）。  </w:t>
      </w:r>
    </w:p>
    <w:p w14:paraId="1E1A5A8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 w:cs="Times New Roman"/>
          <w:b/>
          <w:bCs/>
          <w:sz w:val="28"/>
          <w:szCs w:val="28"/>
          <w:lang w:eastAsia="zh-CN"/>
        </w:rPr>
      </w:pPr>
      <w:r>
        <w:rPr>
          <w:rFonts w:hint="default" w:ascii="Times New Roman" w:hAnsi="Times New Roman" w:eastAsia="仿宋" w:cs="Times New Roman"/>
          <w:b/>
          <w:bCs/>
          <w:sz w:val="28"/>
          <w:szCs w:val="28"/>
          <w:lang w:val="en-US" w:eastAsia="zh-CN"/>
        </w:rPr>
        <w:t>四</w:t>
      </w:r>
      <w:r>
        <w:rPr>
          <w:rFonts w:hint="default" w:ascii="Times New Roman" w:hAnsi="Times New Roman" w:eastAsia="仿宋" w:cs="Times New Roman"/>
          <w:b/>
          <w:bCs/>
          <w:sz w:val="28"/>
          <w:szCs w:val="28"/>
        </w:rPr>
        <w:t>、附则</w:t>
      </w:r>
    </w:p>
    <w:p w14:paraId="47F57DA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1.本细则由院学术委员会负责解释，争议事项由委员会集体裁定。</w:t>
      </w:r>
    </w:p>
    <w:p w14:paraId="321C37B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2.未尽事宜参照学校及学院相关规定执行。</w:t>
      </w:r>
    </w:p>
    <w:p w14:paraId="71194D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3.本细则自发布之日起实施。</w:t>
      </w:r>
    </w:p>
    <w:p w14:paraId="15E5D3B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default" w:ascii="Times New Roman" w:hAnsi="Times New Roman" w:eastAsia="仿宋" w:cs="Times New Roman"/>
          <w:sz w:val="28"/>
          <w:szCs w:val="28"/>
        </w:rPr>
      </w:pPr>
    </w:p>
    <w:p w14:paraId="601E21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 w:cs="Times New Roman"/>
          <w:sz w:val="28"/>
          <w:szCs w:val="28"/>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613852-AA00-431F-A348-1155E71308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8641B5BE-DA8E-42A4-83DC-E9A300085D9E}"/>
  </w:font>
  <w:font w:name="仿宋">
    <w:panose1 w:val="02010609060101010101"/>
    <w:charset w:val="86"/>
    <w:family w:val="auto"/>
    <w:pitch w:val="default"/>
    <w:sig w:usb0="800002BF" w:usb1="38CF7CFA" w:usb2="00000016" w:usb3="00000000" w:csb0="00040001" w:csb1="00000000"/>
    <w:embedRegular r:id="rId3" w:fontKey="{7D7C24F2-2A5B-496D-9ED3-82C9DE14146D}"/>
  </w:font>
  <w:font w:name="方正仿宋_GB2312">
    <w:panose1 w:val="02000000000000000000"/>
    <w:charset w:val="86"/>
    <w:family w:val="auto"/>
    <w:pitch w:val="default"/>
    <w:sig w:usb0="A00002BF" w:usb1="184F6CFA" w:usb2="00000012" w:usb3="00000000" w:csb0="00040001" w:csb1="00000000"/>
    <w:embedRegular r:id="rId4" w:fontKey="{0DAA55D7-8809-40CD-A440-C74602EB5E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40D9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1062EEC"/>
    <w:rsid w:val="035439A8"/>
    <w:rsid w:val="06A33399"/>
    <w:rsid w:val="06F2019A"/>
    <w:rsid w:val="082500FC"/>
    <w:rsid w:val="0AA44D6C"/>
    <w:rsid w:val="0DD26630"/>
    <w:rsid w:val="0E3C66DC"/>
    <w:rsid w:val="0E8D41E4"/>
    <w:rsid w:val="0FB9252B"/>
    <w:rsid w:val="11186A52"/>
    <w:rsid w:val="138713E8"/>
    <w:rsid w:val="16DE1BA1"/>
    <w:rsid w:val="170E0341"/>
    <w:rsid w:val="178110B0"/>
    <w:rsid w:val="180715CC"/>
    <w:rsid w:val="18B74DA0"/>
    <w:rsid w:val="1C2E1720"/>
    <w:rsid w:val="1CE077D2"/>
    <w:rsid w:val="21E93AF0"/>
    <w:rsid w:val="2369138D"/>
    <w:rsid w:val="2468305A"/>
    <w:rsid w:val="25CE3729"/>
    <w:rsid w:val="26984EDD"/>
    <w:rsid w:val="27CA2AD2"/>
    <w:rsid w:val="28F72F97"/>
    <w:rsid w:val="2A8910EC"/>
    <w:rsid w:val="2B45623B"/>
    <w:rsid w:val="2BD229E4"/>
    <w:rsid w:val="2DE31059"/>
    <w:rsid w:val="2F263B1E"/>
    <w:rsid w:val="32BB14A1"/>
    <w:rsid w:val="330C763F"/>
    <w:rsid w:val="33DD7F4C"/>
    <w:rsid w:val="35581318"/>
    <w:rsid w:val="35AE228D"/>
    <w:rsid w:val="39D864CC"/>
    <w:rsid w:val="3A175247"/>
    <w:rsid w:val="3BEB24E7"/>
    <w:rsid w:val="3F6012FE"/>
    <w:rsid w:val="50AA29C7"/>
    <w:rsid w:val="52861EC9"/>
    <w:rsid w:val="52E44524"/>
    <w:rsid w:val="53204BC9"/>
    <w:rsid w:val="549B009F"/>
    <w:rsid w:val="57A31A70"/>
    <w:rsid w:val="58187D55"/>
    <w:rsid w:val="5C721EAE"/>
    <w:rsid w:val="5E563CE0"/>
    <w:rsid w:val="60776FC3"/>
    <w:rsid w:val="64F8789F"/>
    <w:rsid w:val="667E69EC"/>
    <w:rsid w:val="6AAD2EDA"/>
    <w:rsid w:val="6AEC63A5"/>
    <w:rsid w:val="6B3C7DBA"/>
    <w:rsid w:val="6D28448D"/>
    <w:rsid w:val="6DC46B33"/>
    <w:rsid w:val="6EB64D6C"/>
    <w:rsid w:val="73BB1DFB"/>
    <w:rsid w:val="74677CD6"/>
    <w:rsid w:val="76502050"/>
    <w:rsid w:val="7A0348C4"/>
    <w:rsid w:val="7A655559"/>
    <w:rsid w:val="7ADD2023"/>
    <w:rsid w:val="7BB816DF"/>
    <w:rsid w:val="7C335B9A"/>
    <w:rsid w:val="7E0033FA"/>
    <w:rsid w:val="7E7062A0"/>
    <w:rsid w:val="7FC17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8">
    <w:name w:val="Strong"/>
    <w:basedOn w:val="7"/>
    <w:qFormat/>
    <w:uiPriority w:val="22"/>
    <w:rPr>
      <w:b/>
      <w:bCs/>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2263</Words>
  <Characters>2433</Characters>
  <Lines>3</Lines>
  <Paragraphs>1</Paragraphs>
  <TotalTime>2</TotalTime>
  <ScaleCrop>false</ScaleCrop>
  <LinksUpToDate>false</LinksUpToDate>
  <CharactersWithSpaces>2457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2026-09-17T09:33:00Z</cp:lastPrinted>
  <dcterms:modified xsi:type="dcterms:W3CDTF">2026-09-20T01:38:00Z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eyJoZGlkIjoiNzk2OTBkN2ZjYjAwODYwYzVmYTM2YzY0MGQ5MjE5ZTAiLCJ1c2VySWQiOiI5ODczNDIwOTgifQ==</vt:lpwstr>
  </property>
  <property fmtid="{D5CDD505-2E9C-101B-9397-08002B2CF9AE}" pid="4" name="ICV">
    <vt:lpwstr>3E4E45F967B1492E9F909911F19221A8_13</vt:lpwstr>
  </property>
</Properties>
</file>